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24"/>
          <w:szCs w:val="24"/>
        </w:rPr>
        <w:id w:val="481740124"/>
        <w:docPartObj>
          <w:docPartGallery w:val="Cover Pages"/>
          <w:docPartUnique/>
        </w:docPartObj>
      </w:sdtPr>
      <w:sdtEndPr/>
      <w:sdtContent>
        <w:bookmarkStart w:id="0" w:name="_Toc402340236" w:displacedByCustomXml="prev"/>
        <w:bookmarkEnd w:id="0" w:displacedByCustomXml="prev"/>
        <w:bookmarkStart w:id="1" w:name="_Toc402340235" w:displacedByCustomXml="prev"/>
        <w:bookmarkEnd w:id="1" w:displacedByCustomXml="prev"/>
        <w:bookmarkStart w:id="2" w:name="_Toc511035212" w:displacedByCustomXml="prev"/>
        <w:p w14:paraId="09198A77" w14:textId="77777777" w:rsidR="0055222A" w:rsidRPr="0043627B" w:rsidRDefault="00C23D6E" w:rsidP="001532C5">
          <w:pPr>
            <w:spacing w:after="0" w:line="276" w:lineRule="auto"/>
            <w:rPr>
              <w:rFonts w:ascii="Arial" w:hAnsi="Arial" w:cs="Arial"/>
              <w:b/>
              <w:noProof/>
              <w:sz w:val="24"/>
              <w:szCs w:val="24"/>
            </w:rPr>
          </w:pPr>
          <w:r w:rsidRPr="0043627B">
            <w:rPr>
              <w:rFonts w:ascii="Arial" w:eastAsiaTheme="minorEastAsia" w:hAnsi="Arial" w:cs="Arial"/>
              <w:noProof/>
              <w:sz w:val="24"/>
              <w:szCs w:val="24"/>
              <w:lang w:val="es-ES_tradnl" w:eastAsia="es-ES"/>
            </w:rPr>
            <mc:AlternateContent>
              <mc:Choice Requires="wps">
                <w:drawing>
                  <wp:anchor distT="0" distB="0" distL="114300" distR="114300" simplePos="0" relativeHeight="251697664" behindDoc="0" locked="0" layoutInCell="1" allowOverlap="1" wp14:anchorId="7D3AADBB" wp14:editId="4F27D565">
                    <wp:simplePos x="0" y="0"/>
                    <wp:positionH relativeFrom="column">
                      <wp:posOffset>113665</wp:posOffset>
                    </wp:positionH>
                    <wp:positionV relativeFrom="paragraph">
                      <wp:posOffset>2885440</wp:posOffset>
                    </wp:positionV>
                    <wp:extent cx="6056630" cy="35052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056630" cy="3505200"/>
                            </a:xfrm>
                            <a:prstGeom prst="rect">
                              <a:avLst/>
                            </a:prstGeom>
                            <a:noFill/>
                            <a:ln w="6350">
                              <a:noFill/>
                            </a:ln>
                          </wps:spPr>
                          <wps:txbx>
                            <w:txbxContent>
                              <w:p w14:paraId="73525C7A" w14:textId="265B5608" w:rsidR="00FF34CD" w:rsidRPr="00A935D4" w:rsidRDefault="00FF34CD" w:rsidP="00AD7C6B">
                                <w:pPr>
                                  <w:jc w:val="right"/>
                                  <w:rPr>
                                    <w:rFonts w:ascii="Arial" w:hAnsi="Arial" w:cs="Arial"/>
                                    <w:color w:val="FFFFFF" w:themeColor="background1"/>
                                    <w:sz w:val="56"/>
                                    <w:szCs w:val="80"/>
                                  </w:rPr>
                                </w:pPr>
                                <w:r w:rsidRPr="00A935D4">
                                  <w:rPr>
                                    <w:rFonts w:ascii="Arial" w:hAnsi="Arial" w:cs="Arial"/>
                                    <w:color w:val="FFFFFF" w:themeColor="background1"/>
                                    <w:sz w:val="56"/>
                                    <w:szCs w:val="80"/>
                                  </w:rPr>
                                  <w:t xml:space="preserve">N.º </w:t>
                                </w:r>
                                <w:r>
                                  <w:rPr>
                                    <w:rFonts w:ascii="Arial" w:hAnsi="Arial" w:cs="Arial"/>
                                    <w:color w:val="FFFFFF" w:themeColor="background1"/>
                                    <w:sz w:val="56"/>
                                    <w:szCs w:val="80"/>
                                  </w:rPr>
                                  <w:t>MH-</w:t>
                                </w:r>
                                <w:r w:rsidRPr="00A935D4">
                                  <w:rPr>
                                    <w:rFonts w:ascii="Arial" w:hAnsi="Arial" w:cs="Arial"/>
                                    <w:color w:val="FFFFFF" w:themeColor="background1"/>
                                    <w:sz w:val="56"/>
                                    <w:szCs w:val="80"/>
                                  </w:rPr>
                                  <w:t>AI-INF-</w:t>
                                </w:r>
                                <w:r>
                                  <w:rPr>
                                    <w:rFonts w:ascii="Arial" w:hAnsi="Arial" w:cs="Arial"/>
                                    <w:color w:val="FFFFFF" w:themeColor="background1"/>
                                    <w:sz w:val="56"/>
                                    <w:szCs w:val="80"/>
                                  </w:rPr>
                                  <w:t>CI</w:t>
                                </w:r>
                                <w:r w:rsidRPr="00A935D4">
                                  <w:rPr>
                                    <w:rFonts w:ascii="Arial" w:hAnsi="Arial" w:cs="Arial"/>
                                    <w:color w:val="FFFFFF" w:themeColor="background1"/>
                                    <w:sz w:val="56"/>
                                    <w:szCs w:val="80"/>
                                  </w:rPr>
                                  <w:t>-0</w:t>
                                </w:r>
                                <w:r w:rsidRPr="003A1EB6">
                                  <w:rPr>
                                    <w:rFonts w:ascii="Arial" w:hAnsi="Arial" w:cs="Arial"/>
                                    <w:color w:val="FFFFFF" w:themeColor="background1"/>
                                    <w:sz w:val="56"/>
                                    <w:szCs w:val="80"/>
                                  </w:rPr>
                                  <w:t>0</w:t>
                                </w:r>
                                <w:r w:rsidR="003A1EB6" w:rsidRPr="003A1EB6">
                                  <w:rPr>
                                    <w:rFonts w:ascii="Arial" w:hAnsi="Arial" w:cs="Arial"/>
                                    <w:color w:val="FFFFFF" w:themeColor="background1"/>
                                    <w:sz w:val="56"/>
                                    <w:szCs w:val="80"/>
                                  </w:rPr>
                                  <w:t>1</w:t>
                                </w:r>
                                <w:r>
                                  <w:rPr>
                                    <w:rFonts w:ascii="Arial" w:hAnsi="Arial" w:cs="Arial"/>
                                    <w:color w:val="FFFFFF" w:themeColor="background1"/>
                                    <w:sz w:val="56"/>
                                    <w:szCs w:val="80"/>
                                  </w:rPr>
                                  <w:t>-2</w:t>
                                </w:r>
                                <w:r w:rsidRPr="00A935D4">
                                  <w:rPr>
                                    <w:rFonts w:ascii="Arial" w:hAnsi="Arial" w:cs="Arial"/>
                                    <w:color w:val="FFFFFF" w:themeColor="background1"/>
                                    <w:sz w:val="56"/>
                                    <w:szCs w:val="80"/>
                                  </w:rPr>
                                  <w:t>02</w:t>
                                </w:r>
                                <w:r>
                                  <w:rPr>
                                    <w:rFonts w:ascii="Arial" w:hAnsi="Arial" w:cs="Arial"/>
                                    <w:color w:val="FFFFFF" w:themeColor="background1"/>
                                    <w:sz w:val="56"/>
                                    <w:szCs w:val="80"/>
                                  </w:rPr>
                                  <w:t>3</w:t>
                                </w:r>
                              </w:p>
                              <w:p w14:paraId="39B2B306" w14:textId="77777777" w:rsidR="00FF34CD" w:rsidRPr="00A64D40" w:rsidRDefault="00FF34CD" w:rsidP="00C23D6E">
                                <w:pPr>
                                  <w:jc w:val="right"/>
                                  <w:rPr>
                                    <w:rFonts w:ascii="Arial" w:hAnsi="Arial" w:cs="Arial"/>
                                    <w:color w:val="FFFFFF" w:themeColor="background1"/>
                                    <w:sz w:val="52"/>
                                    <w:szCs w:val="72"/>
                                  </w:rPr>
                                </w:pPr>
                                <w:r w:rsidRPr="00C23D6E">
                                  <w:rPr>
                                    <w:rFonts w:ascii="Arial" w:hAnsi="Arial" w:cs="Arial"/>
                                    <w:color w:val="FFFFFF" w:themeColor="background1"/>
                                    <w:sz w:val="52"/>
                                    <w:szCs w:val="72"/>
                                  </w:rPr>
                                  <w:t>Evaluación del proceso de seguimiento del endeudamiento público externo, donde el Gobierno figure como deudor o garante de las Unidades Ejecutoras de los proyectos en ejecución</w:t>
                                </w:r>
                                <w:r>
                                  <w:rPr>
                                    <w:rFonts w:ascii="Arial" w:hAnsi="Arial" w:cs="Arial"/>
                                    <w:color w:val="FFFFFF" w:themeColor="background1"/>
                                    <w:sz w:val="5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AADBB" id="_x0000_t202" coordsize="21600,21600" o:spt="202" path="m,l,21600r21600,l21600,xe">
                    <v:stroke joinstyle="miter"/>
                    <v:path gradientshapeok="t" o:connecttype="rect"/>
                  </v:shapetype>
                  <v:shape id="Cuadro de texto 4" o:spid="_x0000_s1026" type="#_x0000_t202" style="position:absolute;margin-left:8.95pt;margin-top:227.2pt;width:476.9pt;height:27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" filled="f" stroked="f" strokeweight=".5pt">
                    <v:textbox>
                      <w:txbxContent>
                        <w:p w14:paraId="73525C7A" w14:textId="265B5608" w:rsidR="00FF34CD" w:rsidRPr="00A935D4" w:rsidRDefault="00FF34CD" w:rsidP="00AD7C6B">
                          <w:pPr>
                            <w:jc w:val="right"/>
                            <w:rPr>
                              <w:rFonts w:ascii="Arial" w:hAnsi="Arial" w:cs="Arial"/>
                              <w:color w:val="FFFFFF" w:themeColor="background1"/>
                              <w:sz w:val="56"/>
                              <w:szCs w:val="80"/>
                            </w:rPr>
                          </w:pPr>
                          <w:r w:rsidRPr="00A935D4">
                            <w:rPr>
                              <w:rFonts w:ascii="Arial" w:hAnsi="Arial" w:cs="Arial"/>
                              <w:color w:val="FFFFFF" w:themeColor="background1"/>
                              <w:sz w:val="56"/>
                              <w:szCs w:val="80"/>
                            </w:rPr>
                            <w:t xml:space="preserve">N.º </w:t>
                          </w:r>
                          <w:r>
                            <w:rPr>
                              <w:rFonts w:ascii="Arial" w:hAnsi="Arial" w:cs="Arial"/>
                              <w:color w:val="FFFFFF" w:themeColor="background1"/>
                              <w:sz w:val="56"/>
                              <w:szCs w:val="80"/>
                            </w:rPr>
                            <w:t>MH-</w:t>
                          </w:r>
                          <w:r w:rsidRPr="00A935D4">
                            <w:rPr>
                              <w:rFonts w:ascii="Arial" w:hAnsi="Arial" w:cs="Arial"/>
                              <w:color w:val="FFFFFF" w:themeColor="background1"/>
                              <w:sz w:val="56"/>
                              <w:szCs w:val="80"/>
                            </w:rPr>
                            <w:t>AI-INF-</w:t>
                          </w:r>
                          <w:r>
                            <w:rPr>
                              <w:rFonts w:ascii="Arial" w:hAnsi="Arial" w:cs="Arial"/>
                              <w:color w:val="FFFFFF" w:themeColor="background1"/>
                              <w:sz w:val="56"/>
                              <w:szCs w:val="80"/>
                            </w:rPr>
                            <w:t>CI</w:t>
                          </w:r>
                          <w:r w:rsidRPr="00A935D4">
                            <w:rPr>
                              <w:rFonts w:ascii="Arial" w:hAnsi="Arial" w:cs="Arial"/>
                              <w:color w:val="FFFFFF" w:themeColor="background1"/>
                              <w:sz w:val="56"/>
                              <w:szCs w:val="80"/>
                            </w:rPr>
                            <w:t>-0</w:t>
                          </w:r>
                          <w:r w:rsidRPr="003A1EB6">
                            <w:rPr>
                              <w:rFonts w:ascii="Arial" w:hAnsi="Arial" w:cs="Arial"/>
                              <w:color w:val="FFFFFF" w:themeColor="background1"/>
                              <w:sz w:val="56"/>
                              <w:szCs w:val="80"/>
                            </w:rPr>
                            <w:t>0</w:t>
                          </w:r>
                          <w:r w:rsidR="003A1EB6" w:rsidRPr="003A1EB6">
                            <w:rPr>
                              <w:rFonts w:ascii="Arial" w:hAnsi="Arial" w:cs="Arial"/>
                              <w:color w:val="FFFFFF" w:themeColor="background1"/>
                              <w:sz w:val="56"/>
                              <w:szCs w:val="80"/>
                            </w:rPr>
                            <w:t>1</w:t>
                          </w:r>
                          <w:r>
                            <w:rPr>
                              <w:rFonts w:ascii="Arial" w:hAnsi="Arial" w:cs="Arial"/>
                              <w:color w:val="FFFFFF" w:themeColor="background1"/>
                              <w:sz w:val="56"/>
                              <w:szCs w:val="80"/>
                            </w:rPr>
                            <w:t>-2</w:t>
                          </w:r>
                          <w:r w:rsidRPr="00A935D4">
                            <w:rPr>
                              <w:rFonts w:ascii="Arial" w:hAnsi="Arial" w:cs="Arial"/>
                              <w:color w:val="FFFFFF" w:themeColor="background1"/>
                              <w:sz w:val="56"/>
                              <w:szCs w:val="80"/>
                            </w:rPr>
                            <w:t>02</w:t>
                          </w:r>
                          <w:r>
                            <w:rPr>
                              <w:rFonts w:ascii="Arial" w:hAnsi="Arial" w:cs="Arial"/>
                              <w:color w:val="FFFFFF" w:themeColor="background1"/>
                              <w:sz w:val="56"/>
                              <w:szCs w:val="80"/>
                            </w:rPr>
                            <w:t>3</w:t>
                          </w:r>
                        </w:p>
                        <w:p w14:paraId="39B2B306" w14:textId="77777777" w:rsidR="00FF34CD" w:rsidRPr="00A64D40" w:rsidRDefault="00FF34CD" w:rsidP="00C23D6E">
                          <w:pPr>
                            <w:jc w:val="right"/>
                            <w:rPr>
                              <w:rFonts w:ascii="Arial" w:hAnsi="Arial" w:cs="Arial"/>
                              <w:color w:val="FFFFFF" w:themeColor="background1"/>
                              <w:sz w:val="52"/>
                              <w:szCs w:val="72"/>
                            </w:rPr>
                          </w:pPr>
                          <w:r w:rsidRPr="00C23D6E">
                            <w:rPr>
                              <w:rFonts w:ascii="Arial" w:hAnsi="Arial" w:cs="Arial"/>
                              <w:color w:val="FFFFFF" w:themeColor="background1"/>
                              <w:sz w:val="52"/>
                              <w:szCs w:val="72"/>
                            </w:rPr>
                            <w:t>Evaluación del proceso de seguimiento del endeudamiento público externo, donde el Gobierno figure como deudor o garante de las Unidades Ejecutoras de los proyectos en ejecución</w:t>
                          </w:r>
                          <w:r>
                            <w:rPr>
                              <w:rFonts w:ascii="Arial" w:hAnsi="Arial" w:cs="Arial"/>
                              <w:color w:val="FFFFFF" w:themeColor="background1"/>
                              <w:sz w:val="52"/>
                              <w:szCs w:val="72"/>
                            </w:rPr>
                            <w:t>.</w:t>
                          </w:r>
                        </w:p>
                      </w:txbxContent>
                    </v:textbox>
                  </v:shape>
                </w:pict>
              </mc:Fallback>
            </mc:AlternateContent>
          </w:r>
          <w:r w:rsidRPr="0043627B">
            <w:rPr>
              <w:rFonts w:ascii="Arial" w:hAnsi="Arial" w:cs="Arial"/>
              <w:noProof/>
              <w:sz w:val="24"/>
              <w:szCs w:val="24"/>
              <w:lang w:eastAsia="es-CR"/>
            </w:rPr>
            <mc:AlternateContent>
              <mc:Choice Requires="wps">
                <w:drawing>
                  <wp:anchor distT="0" distB="0" distL="114300" distR="114300" simplePos="0" relativeHeight="251707904" behindDoc="0" locked="0" layoutInCell="1" allowOverlap="1" wp14:anchorId="46326446" wp14:editId="163DB071">
                    <wp:simplePos x="0" y="0"/>
                    <wp:positionH relativeFrom="margin">
                      <wp:align>center</wp:align>
                    </wp:positionH>
                    <wp:positionV relativeFrom="paragraph">
                      <wp:posOffset>6492240</wp:posOffset>
                    </wp:positionV>
                    <wp:extent cx="6629400" cy="960120"/>
                    <wp:effectExtent l="0" t="0" r="0" b="0"/>
                    <wp:wrapSquare wrapText="bothSides"/>
                    <wp:docPr id="7" name="Text Box 5"/>
                    <wp:cNvGraphicFramePr/>
                    <a:graphic xmlns:a="http://schemas.openxmlformats.org/drawingml/2006/main">
                      <a:graphicData uri="http://schemas.microsoft.com/office/word/2010/wordprocessingShape">
                        <wps:wsp>
                          <wps:cNvSpPr txBox="1"/>
                          <wps:spPr>
                            <a:xfrm>
                              <a:off x="0" y="0"/>
                              <a:ext cx="6629400" cy="9601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E7D224" w14:textId="77777777" w:rsidR="00FF34CD" w:rsidRDefault="00FF34CD"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5275980D" w14:textId="77777777" w:rsidR="00FF34CD" w:rsidRPr="00AD7C6B" w:rsidRDefault="00FF34CD"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26446" id="Text Box 5" o:spid="_x0000_s1027" type="#_x0000_t202" style="position:absolute;margin-left:0;margin-top:511.2pt;width:522pt;height:75.6pt;z-index:251707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" filled="f" stroked="f">
                    <v:textbox>
                      <w:txbxContent>
                        <w:p w14:paraId="42E7D224" w14:textId="77777777" w:rsidR="00FF34CD" w:rsidRDefault="00FF34CD"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5275980D" w14:textId="77777777" w:rsidR="00FF34CD" w:rsidRPr="00AD7C6B" w:rsidRDefault="00FF34CD"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2023</w:t>
                          </w:r>
                        </w:p>
                      </w:txbxContent>
                    </v:textbox>
                    <w10:wrap type="square" anchorx="margin"/>
                  </v:shape>
                </w:pict>
              </mc:Fallback>
            </mc:AlternateContent>
          </w:r>
          <w:r w:rsidR="00AD7C6B" w:rsidRPr="0043627B">
            <w:rPr>
              <w:rFonts w:ascii="Arial" w:hAnsi="Arial" w:cs="Arial"/>
              <w:b/>
              <w:noProof/>
              <w:sz w:val="24"/>
              <w:szCs w:val="24"/>
            </w:rPr>
            <w:drawing>
              <wp:anchor distT="0" distB="0" distL="114300" distR="114300" simplePos="0" relativeHeight="251624960" behindDoc="1" locked="0" layoutInCell="1" allowOverlap="1" wp14:anchorId="57A69ED0" wp14:editId="2E278182">
                <wp:simplePos x="0" y="0"/>
                <wp:positionH relativeFrom="page">
                  <wp:align>left</wp:align>
                </wp:positionH>
                <wp:positionV relativeFrom="page">
                  <wp:align>top</wp:align>
                </wp:positionV>
                <wp:extent cx="7961630" cy="10050780"/>
                <wp:effectExtent l="0" t="0" r="127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tadas para inform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1630" cy="10050780"/>
                        </a:xfrm>
                        <a:prstGeom prst="rect">
                          <a:avLst/>
                        </a:prstGeom>
                      </pic:spPr>
                    </pic:pic>
                  </a:graphicData>
                </a:graphic>
                <wp14:sizeRelV relativeFrom="margin">
                  <wp14:pctHeight>0</wp14:pctHeight>
                </wp14:sizeRelV>
              </wp:anchor>
            </w:drawing>
          </w:r>
        </w:p>
      </w:sdtContent>
    </w:sdt>
    <w:bookmarkEnd w:id="2" w:displacedByCustomXml="prev"/>
    <w:p w14:paraId="33E1AF77" w14:textId="77777777" w:rsidR="00103A37" w:rsidRDefault="00103A37" w:rsidP="00A64D40">
      <w:pPr>
        <w:autoSpaceDE w:val="0"/>
        <w:autoSpaceDN w:val="0"/>
        <w:adjustRightInd w:val="0"/>
        <w:spacing w:after="0" w:line="240" w:lineRule="auto"/>
        <w:jc w:val="right"/>
        <w:rPr>
          <w:rFonts w:ascii="Arial" w:hAnsi="Arial" w:cs="Arial"/>
          <w:color w:val="000000"/>
          <w:sz w:val="24"/>
          <w:szCs w:val="24"/>
        </w:rPr>
      </w:pPr>
    </w:p>
    <w:p w14:paraId="74153B36" w14:textId="77777777" w:rsidR="00103A37" w:rsidRPr="00103A37" w:rsidRDefault="00103A37" w:rsidP="00A64D40">
      <w:pPr>
        <w:autoSpaceDE w:val="0"/>
        <w:autoSpaceDN w:val="0"/>
        <w:adjustRightInd w:val="0"/>
        <w:spacing w:after="0" w:line="240" w:lineRule="auto"/>
        <w:jc w:val="right"/>
        <w:rPr>
          <w:rFonts w:ascii="Arial" w:hAnsi="Arial" w:cs="Arial"/>
          <w:color w:val="000000"/>
          <w:szCs w:val="24"/>
        </w:rPr>
      </w:pPr>
    </w:p>
    <w:p w14:paraId="6D8D7A0B" w14:textId="77777777" w:rsidR="00103A37" w:rsidRDefault="00103A37" w:rsidP="00103A37">
      <w:pPr>
        <w:autoSpaceDE w:val="0"/>
        <w:autoSpaceDN w:val="0"/>
        <w:adjustRightInd w:val="0"/>
        <w:spacing w:after="0" w:line="240" w:lineRule="auto"/>
        <w:jc w:val="center"/>
        <w:rPr>
          <w:rFonts w:ascii="Arial" w:hAnsi="Arial" w:cs="Arial"/>
          <w:color w:val="000000"/>
          <w:szCs w:val="24"/>
        </w:rPr>
      </w:pPr>
    </w:p>
    <w:sdt>
      <w:sdtPr>
        <w:rPr>
          <w:rFonts w:ascii="Arial" w:hAnsi="Arial" w:cs="Arial"/>
          <w:b/>
          <w:sz w:val="24"/>
          <w:szCs w:val="24"/>
        </w:rPr>
        <w:id w:val="-1166481374"/>
        <w:docPartObj>
          <w:docPartGallery w:val="Table of Contents"/>
          <w:docPartUnique/>
        </w:docPartObj>
      </w:sdtPr>
      <w:sdtEndPr>
        <w:rPr>
          <w:b w:val="0"/>
        </w:rPr>
      </w:sdtEndPr>
      <w:sdtContent>
        <w:p w14:paraId="678FDE1F" w14:textId="77777777" w:rsidR="00801429" w:rsidRPr="00294239" w:rsidRDefault="00801429" w:rsidP="00801429">
          <w:pPr>
            <w:keepNext/>
            <w:keepLines/>
            <w:spacing w:after="0" w:line="276" w:lineRule="auto"/>
            <w:rPr>
              <w:rFonts w:ascii="Arial" w:eastAsiaTheme="majorEastAsia" w:hAnsi="Arial" w:cs="Arial"/>
              <w:b/>
              <w:bCs/>
              <w:color w:val="44546A" w:themeColor="text2"/>
              <w:sz w:val="24"/>
              <w:lang w:eastAsia="es-CR"/>
            </w:rPr>
          </w:pPr>
          <w:r w:rsidRPr="00294239">
            <w:rPr>
              <w:rFonts w:ascii="Arial" w:eastAsiaTheme="majorEastAsia" w:hAnsi="Arial" w:cs="Arial"/>
              <w:b/>
              <w:bCs/>
              <w:color w:val="44546A" w:themeColor="text2"/>
              <w:sz w:val="24"/>
              <w:lang w:eastAsia="es-CR"/>
            </w:rPr>
            <w:t>CONTENIDO</w:t>
          </w:r>
        </w:p>
        <w:p w14:paraId="1170DA0F" w14:textId="64FC758D" w:rsidR="00294239" w:rsidRPr="00294239" w:rsidRDefault="00801429">
          <w:pPr>
            <w:pStyle w:val="TDC1"/>
            <w:tabs>
              <w:tab w:val="right" w:leader="dot" w:pos="8828"/>
            </w:tabs>
            <w:rPr>
              <w:rFonts w:ascii="Arial" w:eastAsiaTheme="minorEastAsia" w:hAnsi="Arial" w:cs="Arial"/>
              <w:noProof/>
              <w:lang w:eastAsia="es-CR"/>
            </w:rPr>
          </w:pPr>
          <w:r w:rsidRPr="00294239">
            <w:rPr>
              <w:rFonts w:ascii="Arial" w:hAnsi="Arial" w:cs="Arial"/>
              <w:lang w:val="es-ES_tradnl"/>
            </w:rPr>
            <w:fldChar w:fldCharType="begin"/>
          </w:r>
          <w:r w:rsidRPr="00294239">
            <w:rPr>
              <w:rFonts w:ascii="Arial" w:hAnsi="Arial" w:cs="Arial"/>
            </w:rPr>
            <w:instrText xml:space="preserve"> TOC \o "1-3" \h \z \u </w:instrText>
          </w:r>
          <w:r w:rsidRPr="00294239">
            <w:rPr>
              <w:rFonts w:ascii="Arial" w:hAnsi="Arial" w:cs="Arial"/>
              <w:lang w:val="es-ES_tradnl"/>
            </w:rPr>
            <w:fldChar w:fldCharType="separate"/>
          </w:r>
          <w:hyperlink w:anchor="_Toc131075259" w:history="1">
            <w:r w:rsidR="00294239" w:rsidRPr="00294239">
              <w:rPr>
                <w:rStyle w:val="Hipervnculo"/>
                <w:rFonts w:ascii="Arial" w:hAnsi="Arial" w:cs="Arial"/>
                <w:b/>
                <w:bCs/>
                <w:noProof/>
                <w:kern w:val="28"/>
                <w:lang w:eastAsia="es-ES"/>
              </w:rPr>
              <w:t>RESUMEN EJECUTIVO</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_Toc131075259 \h </w:instrText>
            </w:r>
            <w:r w:rsidR="00294239" w:rsidRPr="00294239">
              <w:rPr>
                <w:rFonts w:ascii="Arial" w:hAnsi="Arial" w:cs="Arial"/>
                <w:noProof/>
                <w:webHidden/>
              </w:rPr>
            </w:r>
            <w:r w:rsidR="00294239" w:rsidRPr="00294239">
              <w:rPr>
                <w:rFonts w:ascii="Arial" w:hAnsi="Arial" w:cs="Arial"/>
                <w:noProof/>
                <w:webHidden/>
              </w:rPr>
              <w:fldChar w:fldCharType="separate"/>
            </w:r>
            <w:r w:rsidR="007A6C3A">
              <w:rPr>
                <w:rFonts w:ascii="Arial" w:hAnsi="Arial" w:cs="Arial"/>
                <w:noProof/>
                <w:webHidden/>
              </w:rPr>
              <w:t>3</w:t>
            </w:r>
            <w:r w:rsidR="00294239" w:rsidRPr="00294239">
              <w:rPr>
                <w:rFonts w:ascii="Arial" w:hAnsi="Arial" w:cs="Arial"/>
                <w:noProof/>
                <w:webHidden/>
              </w:rPr>
              <w:fldChar w:fldCharType="end"/>
            </w:r>
          </w:hyperlink>
        </w:p>
        <w:p w14:paraId="316A2CCB" w14:textId="0CD490D9" w:rsidR="00294239" w:rsidRPr="00294239" w:rsidRDefault="007A6C3A">
          <w:pPr>
            <w:pStyle w:val="TDC1"/>
            <w:tabs>
              <w:tab w:val="left" w:pos="440"/>
              <w:tab w:val="right" w:leader="dot" w:pos="8828"/>
            </w:tabs>
            <w:rPr>
              <w:rFonts w:ascii="Arial" w:eastAsiaTheme="minorEastAsia" w:hAnsi="Arial" w:cs="Arial"/>
              <w:noProof/>
              <w:lang w:eastAsia="es-CR"/>
            </w:rPr>
          </w:pPr>
          <w:hyperlink w:anchor="_Toc131075260" w:history="1">
            <w:r w:rsidR="00294239" w:rsidRPr="00294239">
              <w:rPr>
                <w:rStyle w:val="Hipervnculo"/>
                <w:rFonts w:ascii="Arial" w:hAnsi="Arial" w:cs="Arial"/>
                <w:b/>
                <w:bCs/>
                <w:noProof/>
                <w:kern w:val="28"/>
                <w:lang w:eastAsia="es-ES"/>
              </w:rPr>
              <w:t>1.</w:t>
            </w:r>
            <w:r w:rsidR="00294239" w:rsidRPr="00294239">
              <w:rPr>
                <w:rFonts w:ascii="Arial" w:eastAsiaTheme="minorEastAsia" w:hAnsi="Arial" w:cs="Arial"/>
                <w:noProof/>
                <w:lang w:eastAsia="es-CR"/>
              </w:rPr>
              <w:tab/>
            </w:r>
            <w:r w:rsidR="00294239" w:rsidRPr="00294239">
              <w:rPr>
                <w:rStyle w:val="Hipervnculo"/>
                <w:rFonts w:ascii="Arial" w:hAnsi="Arial" w:cs="Arial"/>
                <w:b/>
                <w:bCs/>
                <w:noProof/>
                <w:kern w:val="28"/>
                <w:lang w:eastAsia="es-ES"/>
              </w:rPr>
              <w:t>INTRODUCCIÓN</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_Toc131075260 \h </w:instrText>
            </w:r>
            <w:r w:rsidR="00294239" w:rsidRPr="00294239">
              <w:rPr>
                <w:rFonts w:ascii="Arial" w:hAnsi="Arial" w:cs="Arial"/>
                <w:noProof/>
                <w:webHidden/>
              </w:rPr>
            </w:r>
            <w:r w:rsidR="00294239" w:rsidRPr="00294239">
              <w:rPr>
                <w:rFonts w:ascii="Arial" w:hAnsi="Arial" w:cs="Arial"/>
                <w:noProof/>
                <w:webHidden/>
              </w:rPr>
              <w:fldChar w:fldCharType="separate"/>
            </w:r>
            <w:r>
              <w:rPr>
                <w:rFonts w:ascii="Arial" w:hAnsi="Arial" w:cs="Arial"/>
                <w:noProof/>
                <w:webHidden/>
              </w:rPr>
              <w:t>5</w:t>
            </w:r>
            <w:r w:rsidR="00294239" w:rsidRPr="00294239">
              <w:rPr>
                <w:rFonts w:ascii="Arial" w:hAnsi="Arial" w:cs="Arial"/>
                <w:noProof/>
                <w:webHidden/>
              </w:rPr>
              <w:fldChar w:fldCharType="end"/>
            </w:r>
          </w:hyperlink>
        </w:p>
        <w:p w14:paraId="51453C31" w14:textId="20814217" w:rsidR="00294239" w:rsidRPr="00294239" w:rsidRDefault="007A6C3A">
          <w:pPr>
            <w:pStyle w:val="TDC2"/>
            <w:tabs>
              <w:tab w:val="left" w:pos="880"/>
              <w:tab w:val="right" w:leader="dot" w:pos="8828"/>
            </w:tabs>
            <w:rPr>
              <w:rFonts w:ascii="Arial" w:eastAsiaTheme="minorEastAsia" w:hAnsi="Arial" w:cs="Arial"/>
              <w:noProof/>
              <w:lang w:eastAsia="es-CR"/>
            </w:rPr>
          </w:pPr>
          <w:hyperlink w:anchor="_Toc131075261" w:history="1">
            <w:r w:rsidR="00294239" w:rsidRPr="00294239">
              <w:rPr>
                <w:rStyle w:val="Hipervnculo"/>
                <w:rFonts w:ascii="Arial" w:hAnsi="Arial" w:cs="Arial"/>
                <w:b/>
                <w:noProof/>
                <w:lang w:val="es-ES_tradnl" w:eastAsia="es-ES"/>
              </w:rPr>
              <w:t>1.1</w:t>
            </w:r>
            <w:r w:rsidR="00294239" w:rsidRPr="00294239">
              <w:rPr>
                <w:rFonts w:ascii="Arial" w:eastAsiaTheme="minorEastAsia" w:hAnsi="Arial" w:cs="Arial"/>
                <w:noProof/>
                <w:lang w:eastAsia="es-CR"/>
              </w:rPr>
              <w:tab/>
            </w:r>
            <w:r w:rsidR="00294239" w:rsidRPr="00294239">
              <w:rPr>
                <w:rStyle w:val="Hipervnculo"/>
                <w:rFonts w:ascii="Arial" w:hAnsi="Arial" w:cs="Arial"/>
                <w:b/>
                <w:noProof/>
                <w:lang w:val="es-ES_tradnl" w:eastAsia="es-ES"/>
              </w:rPr>
              <w:t>Origen</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_Toc131075261 \h </w:instrText>
            </w:r>
            <w:r w:rsidR="00294239" w:rsidRPr="00294239">
              <w:rPr>
                <w:rFonts w:ascii="Arial" w:hAnsi="Arial" w:cs="Arial"/>
                <w:noProof/>
                <w:webHidden/>
              </w:rPr>
            </w:r>
            <w:r w:rsidR="00294239" w:rsidRPr="00294239">
              <w:rPr>
                <w:rFonts w:ascii="Arial" w:hAnsi="Arial" w:cs="Arial"/>
                <w:noProof/>
                <w:webHidden/>
              </w:rPr>
              <w:fldChar w:fldCharType="separate"/>
            </w:r>
            <w:r>
              <w:rPr>
                <w:rFonts w:ascii="Arial" w:hAnsi="Arial" w:cs="Arial"/>
                <w:noProof/>
                <w:webHidden/>
              </w:rPr>
              <w:t>5</w:t>
            </w:r>
            <w:r w:rsidR="00294239" w:rsidRPr="00294239">
              <w:rPr>
                <w:rFonts w:ascii="Arial" w:hAnsi="Arial" w:cs="Arial"/>
                <w:noProof/>
                <w:webHidden/>
              </w:rPr>
              <w:fldChar w:fldCharType="end"/>
            </w:r>
          </w:hyperlink>
        </w:p>
        <w:p w14:paraId="6822F279" w14:textId="0ACCB15E" w:rsidR="00294239" w:rsidRPr="00294239" w:rsidRDefault="007A6C3A">
          <w:pPr>
            <w:pStyle w:val="TDC2"/>
            <w:tabs>
              <w:tab w:val="left" w:pos="880"/>
              <w:tab w:val="right" w:leader="dot" w:pos="8828"/>
            </w:tabs>
            <w:rPr>
              <w:rFonts w:ascii="Arial" w:eastAsiaTheme="minorEastAsia" w:hAnsi="Arial" w:cs="Arial"/>
              <w:noProof/>
              <w:lang w:eastAsia="es-CR"/>
            </w:rPr>
          </w:pPr>
          <w:hyperlink w:anchor="_Toc131075262" w:history="1">
            <w:r w:rsidR="00294239" w:rsidRPr="00294239">
              <w:rPr>
                <w:rStyle w:val="Hipervnculo"/>
                <w:rFonts w:ascii="Arial" w:hAnsi="Arial" w:cs="Arial"/>
                <w:b/>
                <w:noProof/>
                <w:lang w:val="es-ES_tradnl" w:eastAsia="es-ES"/>
              </w:rPr>
              <w:t>1.2</w:t>
            </w:r>
            <w:r w:rsidR="00294239" w:rsidRPr="00294239">
              <w:rPr>
                <w:rFonts w:ascii="Arial" w:eastAsiaTheme="minorEastAsia" w:hAnsi="Arial" w:cs="Arial"/>
                <w:noProof/>
                <w:lang w:eastAsia="es-CR"/>
              </w:rPr>
              <w:tab/>
            </w:r>
            <w:r w:rsidR="00294239" w:rsidRPr="00294239">
              <w:rPr>
                <w:rStyle w:val="Hipervnculo"/>
                <w:rFonts w:ascii="Arial" w:hAnsi="Arial" w:cs="Arial"/>
                <w:b/>
                <w:noProof/>
                <w:lang w:val="es-ES_tradnl" w:eastAsia="es-ES"/>
              </w:rPr>
              <w:t>Objetivo del estudio</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_Toc131075262 \h </w:instrText>
            </w:r>
            <w:r w:rsidR="00294239" w:rsidRPr="00294239">
              <w:rPr>
                <w:rFonts w:ascii="Arial" w:hAnsi="Arial" w:cs="Arial"/>
                <w:noProof/>
                <w:webHidden/>
              </w:rPr>
            </w:r>
            <w:r w:rsidR="00294239" w:rsidRPr="00294239">
              <w:rPr>
                <w:rFonts w:ascii="Arial" w:hAnsi="Arial" w:cs="Arial"/>
                <w:noProof/>
                <w:webHidden/>
              </w:rPr>
              <w:fldChar w:fldCharType="separate"/>
            </w:r>
            <w:r>
              <w:rPr>
                <w:rFonts w:ascii="Arial" w:hAnsi="Arial" w:cs="Arial"/>
                <w:noProof/>
                <w:webHidden/>
              </w:rPr>
              <w:t>5</w:t>
            </w:r>
            <w:r w:rsidR="00294239" w:rsidRPr="00294239">
              <w:rPr>
                <w:rFonts w:ascii="Arial" w:hAnsi="Arial" w:cs="Arial"/>
                <w:noProof/>
                <w:webHidden/>
              </w:rPr>
              <w:fldChar w:fldCharType="end"/>
            </w:r>
          </w:hyperlink>
        </w:p>
        <w:p w14:paraId="1FBD0186" w14:textId="174D5BF6" w:rsidR="00294239" w:rsidRPr="00294239" w:rsidRDefault="007A6C3A">
          <w:pPr>
            <w:pStyle w:val="TDC2"/>
            <w:tabs>
              <w:tab w:val="left" w:pos="880"/>
              <w:tab w:val="right" w:leader="dot" w:pos="8828"/>
            </w:tabs>
            <w:rPr>
              <w:rFonts w:ascii="Arial" w:eastAsiaTheme="minorEastAsia" w:hAnsi="Arial" w:cs="Arial"/>
              <w:noProof/>
              <w:lang w:eastAsia="es-CR"/>
            </w:rPr>
          </w:pPr>
          <w:hyperlink w:anchor="_Toc131075263" w:history="1">
            <w:r w:rsidR="00294239" w:rsidRPr="00294239">
              <w:rPr>
                <w:rStyle w:val="Hipervnculo"/>
                <w:rFonts w:ascii="Arial" w:hAnsi="Arial" w:cs="Arial"/>
                <w:b/>
                <w:noProof/>
                <w:lang w:val="es-ES_tradnl" w:eastAsia="es-ES"/>
              </w:rPr>
              <w:t>1.3</w:t>
            </w:r>
            <w:r w:rsidR="00294239" w:rsidRPr="00294239">
              <w:rPr>
                <w:rFonts w:ascii="Arial" w:eastAsiaTheme="minorEastAsia" w:hAnsi="Arial" w:cs="Arial"/>
                <w:noProof/>
                <w:lang w:eastAsia="es-CR"/>
              </w:rPr>
              <w:tab/>
            </w:r>
            <w:r w:rsidR="00294239" w:rsidRPr="00294239">
              <w:rPr>
                <w:rStyle w:val="Hipervnculo"/>
                <w:rFonts w:ascii="Arial" w:hAnsi="Arial" w:cs="Arial"/>
                <w:b/>
                <w:noProof/>
                <w:lang w:val="es-ES_tradnl" w:eastAsia="es-ES"/>
              </w:rPr>
              <w:t>Alcance</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_Toc131075263 \h </w:instrText>
            </w:r>
            <w:r w:rsidR="00294239" w:rsidRPr="00294239">
              <w:rPr>
                <w:rFonts w:ascii="Arial" w:hAnsi="Arial" w:cs="Arial"/>
                <w:noProof/>
                <w:webHidden/>
              </w:rPr>
            </w:r>
            <w:r w:rsidR="00294239" w:rsidRPr="00294239">
              <w:rPr>
                <w:rFonts w:ascii="Arial" w:hAnsi="Arial" w:cs="Arial"/>
                <w:noProof/>
                <w:webHidden/>
              </w:rPr>
              <w:fldChar w:fldCharType="separate"/>
            </w:r>
            <w:r>
              <w:rPr>
                <w:rFonts w:ascii="Arial" w:hAnsi="Arial" w:cs="Arial"/>
                <w:noProof/>
                <w:webHidden/>
              </w:rPr>
              <w:t>5</w:t>
            </w:r>
            <w:r w:rsidR="00294239" w:rsidRPr="00294239">
              <w:rPr>
                <w:rFonts w:ascii="Arial" w:hAnsi="Arial" w:cs="Arial"/>
                <w:noProof/>
                <w:webHidden/>
              </w:rPr>
              <w:fldChar w:fldCharType="end"/>
            </w:r>
          </w:hyperlink>
        </w:p>
        <w:p w14:paraId="30F024EF" w14:textId="2751326C" w:rsidR="00294239" w:rsidRPr="00294239" w:rsidRDefault="007A6C3A">
          <w:pPr>
            <w:pStyle w:val="TDC2"/>
            <w:tabs>
              <w:tab w:val="left" w:pos="880"/>
              <w:tab w:val="right" w:leader="dot" w:pos="8828"/>
            </w:tabs>
            <w:rPr>
              <w:rFonts w:ascii="Arial" w:eastAsiaTheme="minorEastAsia" w:hAnsi="Arial" w:cs="Arial"/>
              <w:noProof/>
              <w:lang w:eastAsia="es-CR"/>
            </w:rPr>
          </w:pPr>
          <w:hyperlink w:anchor="_Toc131075264" w:history="1">
            <w:r w:rsidR="00294239" w:rsidRPr="00294239">
              <w:rPr>
                <w:rStyle w:val="Hipervnculo"/>
                <w:rFonts w:ascii="Arial" w:hAnsi="Arial" w:cs="Arial"/>
                <w:b/>
                <w:noProof/>
                <w:lang w:val="es-ES_tradnl" w:eastAsia="es-ES"/>
              </w:rPr>
              <w:t>1.4</w:t>
            </w:r>
            <w:r w:rsidR="00294239" w:rsidRPr="00294239">
              <w:rPr>
                <w:rFonts w:ascii="Arial" w:eastAsiaTheme="minorEastAsia" w:hAnsi="Arial" w:cs="Arial"/>
                <w:noProof/>
                <w:lang w:eastAsia="es-CR"/>
              </w:rPr>
              <w:tab/>
            </w:r>
            <w:r w:rsidR="00294239" w:rsidRPr="00294239">
              <w:rPr>
                <w:rStyle w:val="Hipervnculo"/>
                <w:rFonts w:ascii="Arial" w:hAnsi="Arial" w:cs="Arial"/>
                <w:b/>
                <w:noProof/>
                <w:lang w:val="es-ES_tradnl" w:eastAsia="es-ES"/>
              </w:rPr>
              <w:t>Criterios de evaluación</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_Toc131075264 \h </w:instrText>
            </w:r>
            <w:r w:rsidR="00294239" w:rsidRPr="00294239">
              <w:rPr>
                <w:rFonts w:ascii="Arial" w:hAnsi="Arial" w:cs="Arial"/>
                <w:noProof/>
                <w:webHidden/>
              </w:rPr>
            </w:r>
            <w:r w:rsidR="00294239" w:rsidRPr="00294239">
              <w:rPr>
                <w:rFonts w:ascii="Arial" w:hAnsi="Arial" w:cs="Arial"/>
                <w:noProof/>
                <w:webHidden/>
              </w:rPr>
              <w:fldChar w:fldCharType="separate"/>
            </w:r>
            <w:r>
              <w:rPr>
                <w:rFonts w:ascii="Arial" w:hAnsi="Arial" w:cs="Arial"/>
                <w:noProof/>
                <w:webHidden/>
              </w:rPr>
              <w:t>5</w:t>
            </w:r>
            <w:r w:rsidR="00294239" w:rsidRPr="00294239">
              <w:rPr>
                <w:rFonts w:ascii="Arial" w:hAnsi="Arial" w:cs="Arial"/>
                <w:noProof/>
                <w:webHidden/>
              </w:rPr>
              <w:fldChar w:fldCharType="end"/>
            </w:r>
          </w:hyperlink>
        </w:p>
        <w:p w14:paraId="07C5A198" w14:textId="61855E1E" w:rsidR="00294239" w:rsidRPr="00294239" w:rsidRDefault="007A6C3A">
          <w:pPr>
            <w:pStyle w:val="TDC2"/>
            <w:tabs>
              <w:tab w:val="left" w:pos="880"/>
              <w:tab w:val="right" w:leader="dot" w:pos="8828"/>
            </w:tabs>
            <w:rPr>
              <w:rFonts w:ascii="Arial" w:eastAsiaTheme="minorEastAsia" w:hAnsi="Arial" w:cs="Arial"/>
              <w:noProof/>
              <w:lang w:eastAsia="es-CR"/>
            </w:rPr>
          </w:pPr>
          <w:hyperlink w:anchor="_Toc131075265" w:history="1">
            <w:r w:rsidR="00294239" w:rsidRPr="00294239">
              <w:rPr>
                <w:rStyle w:val="Hipervnculo"/>
                <w:rFonts w:ascii="Arial" w:hAnsi="Arial" w:cs="Arial"/>
                <w:b/>
                <w:noProof/>
                <w:lang w:val="es-ES_tradnl" w:eastAsia="es-ES"/>
              </w:rPr>
              <w:t>1.5</w:t>
            </w:r>
            <w:r w:rsidR="00294239" w:rsidRPr="00294239">
              <w:rPr>
                <w:rFonts w:ascii="Arial" w:eastAsiaTheme="minorEastAsia" w:hAnsi="Arial" w:cs="Arial"/>
                <w:noProof/>
                <w:lang w:eastAsia="es-CR"/>
              </w:rPr>
              <w:tab/>
            </w:r>
            <w:r w:rsidR="00294239" w:rsidRPr="00294239">
              <w:rPr>
                <w:rStyle w:val="Hipervnculo"/>
                <w:rFonts w:ascii="Arial" w:hAnsi="Arial" w:cs="Arial"/>
                <w:b/>
                <w:noProof/>
                <w:lang w:val="es-ES_tradnl" w:eastAsia="es-ES"/>
              </w:rPr>
              <w:t>Metodología aplicada</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_Toc131075265 \h </w:instrText>
            </w:r>
            <w:r w:rsidR="00294239" w:rsidRPr="00294239">
              <w:rPr>
                <w:rFonts w:ascii="Arial" w:hAnsi="Arial" w:cs="Arial"/>
                <w:noProof/>
                <w:webHidden/>
              </w:rPr>
            </w:r>
            <w:r w:rsidR="00294239" w:rsidRPr="00294239">
              <w:rPr>
                <w:rFonts w:ascii="Arial" w:hAnsi="Arial" w:cs="Arial"/>
                <w:noProof/>
                <w:webHidden/>
              </w:rPr>
              <w:fldChar w:fldCharType="separate"/>
            </w:r>
            <w:r>
              <w:rPr>
                <w:rFonts w:ascii="Arial" w:hAnsi="Arial" w:cs="Arial"/>
                <w:noProof/>
                <w:webHidden/>
              </w:rPr>
              <w:t>5</w:t>
            </w:r>
            <w:r w:rsidR="00294239" w:rsidRPr="00294239">
              <w:rPr>
                <w:rFonts w:ascii="Arial" w:hAnsi="Arial" w:cs="Arial"/>
                <w:noProof/>
                <w:webHidden/>
              </w:rPr>
              <w:fldChar w:fldCharType="end"/>
            </w:r>
          </w:hyperlink>
        </w:p>
        <w:p w14:paraId="43D5039C" w14:textId="2FFE8F2D" w:rsidR="00294239" w:rsidRPr="00294239" w:rsidRDefault="007A6C3A">
          <w:pPr>
            <w:pStyle w:val="TDC2"/>
            <w:tabs>
              <w:tab w:val="left" w:pos="880"/>
              <w:tab w:val="right" w:leader="dot" w:pos="8828"/>
            </w:tabs>
            <w:rPr>
              <w:rFonts w:ascii="Arial" w:eastAsiaTheme="minorEastAsia" w:hAnsi="Arial" w:cs="Arial"/>
              <w:noProof/>
              <w:lang w:eastAsia="es-CR"/>
            </w:rPr>
          </w:pPr>
          <w:hyperlink w:anchor="_Toc131075266" w:history="1">
            <w:r w:rsidR="00294239" w:rsidRPr="00294239">
              <w:rPr>
                <w:rStyle w:val="Hipervnculo"/>
                <w:rFonts w:ascii="Arial" w:hAnsi="Arial" w:cs="Arial"/>
                <w:b/>
                <w:noProof/>
                <w:lang w:val="es-ES_tradnl" w:eastAsia="es-ES"/>
              </w:rPr>
              <w:t>1.6</w:t>
            </w:r>
            <w:r w:rsidR="00294239" w:rsidRPr="00294239">
              <w:rPr>
                <w:rFonts w:ascii="Arial" w:eastAsiaTheme="minorEastAsia" w:hAnsi="Arial" w:cs="Arial"/>
                <w:noProof/>
                <w:lang w:eastAsia="es-CR"/>
              </w:rPr>
              <w:tab/>
            </w:r>
            <w:r w:rsidR="00294239" w:rsidRPr="00294239">
              <w:rPr>
                <w:rStyle w:val="Hipervnculo"/>
                <w:rFonts w:ascii="Arial" w:hAnsi="Arial" w:cs="Arial"/>
                <w:b/>
                <w:noProof/>
                <w:lang w:val="es-ES_tradnl" w:eastAsia="es-ES"/>
              </w:rPr>
              <w:t>Comunicación de resultados</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_Toc131075266 \h </w:instrText>
            </w:r>
            <w:r w:rsidR="00294239" w:rsidRPr="00294239">
              <w:rPr>
                <w:rFonts w:ascii="Arial" w:hAnsi="Arial" w:cs="Arial"/>
                <w:noProof/>
                <w:webHidden/>
              </w:rPr>
            </w:r>
            <w:r w:rsidR="00294239" w:rsidRPr="00294239">
              <w:rPr>
                <w:rFonts w:ascii="Arial" w:hAnsi="Arial" w:cs="Arial"/>
                <w:noProof/>
                <w:webHidden/>
              </w:rPr>
              <w:fldChar w:fldCharType="separate"/>
            </w:r>
            <w:r>
              <w:rPr>
                <w:rFonts w:ascii="Arial" w:hAnsi="Arial" w:cs="Arial"/>
                <w:noProof/>
                <w:webHidden/>
              </w:rPr>
              <w:t>5</w:t>
            </w:r>
            <w:r w:rsidR="00294239" w:rsidRPr="00294239">
              <w:rPr>
                <w:rFonts w:ascii="Arial" w:hAnsi="Arial" w:cs="Arial"/>
                <w:noProof/>
                <w:webHidden/>
              </w:rPr>
              <w:fldChar w:fldCharType="end"/>
            </w:r>
          </w:hyperlink>
        </w:p>
        <w:p w14:paraId="5DF844C6" w14:textId="25EC27E0" w:rsidR="00294239" w:rsidRPr="00294239" w:rsidRDefault="007A6C3A">
          <w:pPr>
            <w:pStyle w:val="TDC2"/>
            <w:tabs>
              <w:tab w:val="left" w:pos="880"/>
              <w:tab w:val="right" w:leader="dot" w:pos="8828"/>
            </w:tabs>
            <w:rPr>
              <w:rFonts w:ascii="Arial" w:eastAsiaTheme="minorEastAsia" w:hAnsi="Arial" w:cs="Arial"/>
              <w:noProof/>
              <w:lang w:eastAsia="es-CR"/>
            </w:rPr>
          </w:pPr>
          <w:hyperlink w:anchor="_Toc131075267" w:history="1">
            <w:r w:rsidR="00294239" w:rsidRPr="00294239">
              <w:rPr>
                <w:rStyle w:val="Hipervnculo"/>
                <w:rFonts w:ascii="Arial" w:hAnsi="Arial" w:cs="Arial"/>
                <w:b/>
                <w:noProof/>
                <w:lang w:val="es-ES_tradnl" w:eastAsia="es-ES"/>
              </w:rPr>
              <w:t>1.7</w:t>
            </w:r>
            <w:r w:rsidR="00294239" w:rsidRPr="00294239">
              <w:rPr>
                <w:rFonts w:ascii="Arial" w:eastAsiaTheme="minorEastAsia" w:hAnsi="Arial" w:cs="Arial"/>
                <w:noProof/>
                <w:lang w:eastAsia="es-CR"/>
              </w:rPr>
              <w:tab/>
            </w:r>
            <w:r w:rsidR="00294239" w:rsidRPr="00294239">
              <w:rPr>
                <w:rStyle w:val="Hipervnculo"/>
                <w:rFonts w:ascii="Arial" w:hAnsi="Arial" w:cs="Arial"/>
                <w:b/>
                <w:noProof/>
                <w:lang w:val="es-ES_tradnl" w:eastAsia="es-ES"/>
              </w:rPr>
              <w:t>Normativa relacionada con el control interno</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_Toc131075267 \h </w:instrText>
            </w:r>
            <w:r w:rsidR="00294239" w:rsidRPr="00294239">
              <w:rPr>
                <w:rFonts w:ascii="Arial" w:hAnsi="Arial" w:cs="Arial"/>
                <w:noProof/>
                <w:webHidden/>
              </w:rPr>
            </w:r>
            <w:r w:rsidR="00294239" w:rsidRPr="00294239">
              <w:rPr>
                <w:rFonts w:ascii="Arial" w:hAnsi="Arial" w:cs="Arial"/>
                <w:noProof/>
                <w:webHidden/>
              </w:rPr>
              <w:fldChar w:fldCharType="separate"/>
            </w:r>
            <w:r>
              <w:rPr>
                <w:rFonts w:ascii="Arial" w:hAnsi="Arial" w:cs="Arial"/>
                <w:noProof/>
                <w:webHidden/>
              </w:rPr>
              <w:t>6</w:t>
            </w:r>
            <w:r w:rsidR="00294239" w:rsidRPr="00294239">
              <w:rPr>
                <w:rFonts w:ascii="Arial" w:hAnsi="Arial" w:cs="Arial"/>
                <w:noProof/>
                <w:webHidden/>
              </w:rPr>
              <w:fldChar w:fldCharType="end"/>
            </w:r>
          </w:hyperlink>
        </w:p>
        <w:p w14:paraId="18733640" w14:textId="1354F855" w:rsidR="00294239" w:rsidRPr="00294239" w:rsidRDefault="007A6C3A">
          <w:pPr>
            <w:pStyle w:val="TDC2"/>
            <w:tabs>
              <w:tab w:val="left" w:pos="880"/>
              <w:tab w:val="right" w:leader="dot" w:pos="8828"/>
            </w:tabs>
            <w:rPr>
              <w:rFonts w:ascii="Arial" w:eastAsiaTheme="minorEastAsia" w:hAnsi="Arial" w:cs="Arial"/>
              <w:noProof/>
              <w:lang w:eastAsia="es-CR"/>
            </w:rPr>
          </w:pPr>
          <w:hyperlink w:anchor="_Toc131075268" w:history="1">
            <w:r w:rsidR="00294239" w:rsidRPr="00294239">
              <w:rPr>
                <w:rStyle w:val="Hipervnculo"/>
                <w:rFonts w:ascii="Arial" w:hAnsi="Arial" w:cs="Arial"/>
                <w:b/>
                <w:noProof/>
                <w:lang w:val="es-ES_tradnl" w:eastAsia="es-ES"/>
              </w:rPr>
              <w:t>1.8</w:t>
            </w:r>
            <w:r w:rsidR="00294239" w:rsidRPr="00294239">
              <w:rPr>
                <w:rFonts w:ascii="Arial" w:eastAsiaTheme="minorEastAsia" w:hAnsi="Arial" w:cs="Arial"/>
                <w:noProof/>
                <w:lang w:eastAsia="es-CR"/>
              </w:rPr>
              <w:tab/>
            </w:r>
            <w:r w:rsidR="00294239" w:rsidRPr="00294239">
              <w:rPr>
                <w:rStyle w:val="Hipervnculo"/>
                <w:rFonts w:ascii="Arial" w:hAnsi="Arial" w:cs="Arial"/>
                <w:b/>
                <w:noProof/>
                <w:lang w:val="es-ES_tradnl" w:eastAsia="es-ES"/>
              </w:rPr>
              <w:t>Generalidades</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_Toc131075268 \h </w:instrText>
            </w:r>
            <w:r w:rsidR="00294239" w:rsidRPr="00294239">
              <w:rPr>
                <w:rFonts w:ascii="Arial" w:hAnsi="Arial" w:cs="Arial"/>
                <w:noProof/>
                <w:webHidden/>
              </w:rPr>
            </w:r>
            <w:r w:rsidR="00294239" w:rsidRPr="00294239">
              <w:rPr>
                <w:rFonts w:ascii="Arial" w:hAnsi="Arial" w:cs="Arial"/>
                <w:noProof/>
                <w:webHidden/>
              </w:rPr>
              <w:fldChar w:fldCharType="separate"/>
            </w:r>
            <w:r>
              <w:rPr>
                <w:rFonts w:ascii="Arial" w:hAnsi="Arial" w:cs="Arial"/>
                <w:noProof/>
                <w:webHidden/>
              </w:rPr>
              <w:t>6</w:t>
            </w:r>
            <w:r w:rsidR="00294239" w:rsidRPr="00294239">
              <w:rPr>
                <w:rFonts w:ascii="Arial" w:hAnsi="Arial" w:cs="Arial"/>
                <w:noProof/>
                <w:webHidden/>
              </w:rPr>
              <w:fldChar w:fldCharType="end"/>
            </w:r>
          </w:hyperlink>
        </w:p>
        <w:p w14:paraId="16F4F252" w14:textId="2D4ABFC3" w:rsidR="00294239" w:rsidRPr="00294239" w:rsidRDefault="007A6C3A">
          <w:pPr>
            <w:pStyle w:val="TDC1"/>
            <w:tabs>
              <w:tab w:val="left" w:pos="440"/>
              <w:tab w:val="right" w:leader="dot" w:pos="8828"/>
            </w:tabs>
            <w:rPr>
              <w:rFonts w:ascii="Arial" w:eastAsiaTheme="minorEastAsia" w:hAnsi="Arial" w:cs="Arial"/>
              <w:noProof/>
              <w:lang w:eastAsia="es-CR"/>
            </w:rPr>
          </w:pPr>
          <w:hyperlink w:anchor="_Toc131075269" w:history="1">
            <w:r w:rsidR="00294239" w:rsidRPr="00294239">
              <w:rPr>
                <w:rStyle w:val="Hipervnculo"/>
                <w:rFonts w:ascii="Arial" w:hAnsi="Arial" w:cs="Arial"/>
                <w:b/>
                <w:bCs/>
                <w:noProof/>
                <w:kern w:val="28"/>
                <w:lang w:eastAsia="es-ES"/>
              </w:rPr>
              <w:t>2.</w:t>
            </w:r>
            <w:r w:rsidR="00294239" w:rsidRPr="00294239">
              <w:rPr>
                <w:rFonts w:ascii="Arial" w:eastAsiaTheme="minorEastAsia" w:hAnsi="Arial" w:cs="Arial"/>
                <w:noProof/>
                <w:lang w:eastAsia="es-CR"/>
              </w:rPr>
              <w:tab/>
            </w:r>
            <w:r w:rsidR="00294239" w:rsidRPr="00294239">
              <w:rPr>
                <w:rStyle w:val="Hipervnculo"/>
                <w:rFonts w:ascii="Arial" w:hAnsi="Arial" w:cs="Arial"/>
                <w:b/>
                <w:bCs/>
                <w:noProof/>
                <w:kern w:val="28"/>
                <w:lang w:eastAsia="es-ES"/>
              </w:rPr>
              <w:t>RESULTADOS</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_Toc131075269 \h </w:instrText>
            </w:r>
            <w:r w:rsidR="00294239" w:rsidRPr="00294239">
              <w:rPr>
                <w:rFonts w:ascii="Arial" w:hAnsi="Arial" w:cs="Arial"/>
                <w:noProof/>
                <w:webHidden/>
              </w:rPr>
            </w:r>
            <w:r w:rsidR="00294239" w:rsidRPr="00294239">
              <w:rPr>
                <w:rFonts w:ascii="Arial" w:hAnsi="Arial" w:cs="Arial"/>
                <w:noProof/>
                <w:webHidden/>
              </w:rPr>
              <w:fldChar w:fldCharType="separate"/>
            </w:r>
            <w:r>
              <w:rPr>
                <w:rFonts w:ascii="Arial" w:hAnsi="Arial" w:cs="Arial"/>
                <w:noProof/>
                <w:webHidden/>
              </w:rPr>
              <w:t>7</w:t>
            </w:r>
            <w:r w:rsidR="00294239" w:rsidRPr="00294239">
              <w:rPr>
                <w:rFonts w:ascii="Arial" w:hAnsi="Arial" w:cs="Arial"/>
                <w:noProof/>
                <w:webHidden/>
              </w:rPr>
              <w:fldChar w:fldCharType="end"/>
            </w:r>
          </w:hyperlink>
        </w:p>
        <w:p w14:paraId="4E00E8B0" w14:textId="77612ACB" w:rsidR="00294239" w:rsidRPr="00294239" w:rsidRDefault="007A6C3A">
          <w:pPr>
            <w:pStyle w:val="TDC1"/>
            <w:tabs>
              <w:tab w:val="left" w:pos="660"/>
              <w:tab w:val="right" w:leader="dot" w:pos="8828"/>
            </w:tabs>
            <w:rPr>
              <w:rFonts w:ascii="Arial" w:eastAsiaTheme="minorEastAsia" w:hAnsi="Arial" w:cs="Arial"/>
              <w:noProof/>
              <w:lang w:eastAsia="es-CR"/>
            </w:rPr>
          </w:pPr>
          <w:hyperlink w:anchor="_Toc131075270" w:history="1">
            <w:r w:rsidR="00294239" w:rsidRPr="00294239">
              <w:rPr>
                <w:rStyle w:val="Hipervnculo"/>
                <w:rFonts w:ascii="Arial" w:hAnsi="Arial" w:cs="Arial"/>
                <w:b/>
                <w:bCs/>
                <w:noProof/>
                <w:kern w:val="28"/>
                <w:lang w:eastAsia="es-ES"/>
              </w:rPr>
              <w:t>2.1</w:t>
            </w:r>
            <w:r w:rsidR="00294239" w:rsidRPr="00294239">
              <w:rPr>
                <w:rFonts w:ascii="Arial" w:eastAsiaTheme="minorEastAsia" w:hAnsi="Arial" w:cs="Arial"/>
                <w:noProof/>
                <w:lang w:eastAsia="es-CR"/>
              </w:rPr>
              <w:tab/>
            </w:r>
            <w:r w:rsidR="00294239" w:rsidRPr="00294239">
              <w:rPr>
                <w:rStyle w:val="Hipervnculo"/>
                <w:rFonts w:ascii="Arial" w:hAnsi="Arial" w:cs="Arial"/>
                <w:b/>
                <w:bCs/>
                <w:noProof/>
                <w:kern w:val="28"/>
                <w:lang w:eastAsia="es-ES"/>
              </w:rPr>
              <w:t>Sobre la información relacionada con la determinación de pesos relativos concernientes al avance físico reportado por las Unidades Ejecutoras</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_Toc131075270 \h </w:instrText>
            </w:r>
            <w:r w:rsidR="00294239" w:rsidRPr="00294239">
              <w:rPr>
                <w:rFonts w:ascii="Arial" w:hAnsi="Arial" w:cs="Arial"/>
                <w:noProof/>
                <w:webHidden/>
              </w:rPr>
            </w:r>
            <w:r w:rsidR="00294239" w:rsidRPr="00294239">
              <w:rPr>
                <w:rFonts w:ascii="Arial" w:hAnsi="Arial" w:cs="Arial"/>
                <w:noProof/>
                <w:webHidden/>
              </w:rPr>
              <w:fldChar w:fldCharType="separate"/>
            </w:r>
            <w:r>
              <w:rPr>
                <w:rFonts w:ascii="Arial" w:hAnsi="Arial" w:cs="Arial"/>
                <w:noProof/>
                <w:webHidden/>
              </w:rPr>
              <w:t>7</w:t>
            </w:r>
            <w:r w:rsidR="00294239" w:rsidRPr="00294239">
              <w:rPr>
                <w:rFonts w:ascii="Arial" w:hAnsi="Arial" w:cs="Arial"/>
                <w:noProof/>
                <w:webHidden/>
              </w:rPr>
              <w:fldChar w:fldCharType="end"/>
            </w:r>
          </w:hyperlink>
        </w:p>
        <w:p w14:paraId="13EB8AEC" w14:textId="398C905E" w:rsidR="00294239" w:rsidRPr="00294239" w:rsidRDefault="007A6C3A">
          <w:pPr>
            <w:pStyle w:val="TDC1"/>
            <w:tabs>
              <w:tab w:val="left" w:pos="660"/>
              <w:tab w:val="right" w:leader="dot" w:pos="8828"/>
            </w:tabs>
            <w:rPr>
              <w:rFonts w:ascii="Arial" w:eastAsiaTheme="minorEastAsia" w:hAnsi="Arial" w:cs="Arial"/>
              <w:noProof/>
              <w:lang w:eastAsia="es-CR"/>
            </w:rPr>
          </w:pPr>
          <w:hyperlink w:anchor="_Toc131075271" w:history="1">
            <w:r w:rsidR="00294239" w:rsidRPr="00294239">
              <w:rPr>
                <w:rStyle w:val="Hipervnculo"/>
                <w:rFonts w:ascii="Arial" w:hAnsi="Arial" w:cs="Arial"/>
                <w:b/>
                <w:bCs/>
                <w:noProof/>
                <w:kern w:val="28"/>
                <w:lang w:eastAsia="es-ES"/>
              </w:rPr>
              <w:t>2.2</w:t>
            </w:r>
            <w:r w:rsidR="00294239" w:rsidRPr="00294239">
              <w:rPr>
                <w:rFonts w:ascii="Arial" w:eastAsiaTheme="minorEastAsia" w:hAnsi="Arial" w:cs="Arial"/>
                <w:noProof/>
                <w:lang w:eastAsia="es-CR"/>
              </w:rPr>
              <w:tab/>
            </w:r>
            <w:r w:rsidR="00294239" w:rsidRPr="00294239">
              <w:rPr>
                <w:rStyle w:val="Hipervnculo"/>
                <w:rFonts w:ascii="Arial" w:hAnsi="Arial" w:cs="Arial"/>
                <w:b/>
                <w:bCs/>
                <w:noProof/>
                <w:kern w:val="28"/>
                <w:lang w:eastAsia="es-ES"/>
              </w:rPr>
              <w:t>Sobre la documentación que respalda el proceso conciliación de los desembolsos</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_Toc131075271 \h </w:instrText>
            </w:r>
            <w:r w:rsidR="00294239" w:rsidRPr="00294239">
              <w:rPr>
                <w:rFonts w:ascii="Arial" w:hAnsi="Arial" w:cs="Arial"/>
                <w:noProof/>
                <w:webHidden/>
              </w:rPr>
            </w:r>
            <w:r w:rsidR="00294239" w:rsidRPr="00294239">
              <w:rPr>
                <w:rFonts w:ascii="Arial" w:hAnsi="Arial" w:cs="Arial"/>
                <w:noProof/>
                <w:webHidden/>
              </w:rPr>
              <w:fldChar w:fldCharType="separate"/>
            </w:r>
            <w:r>
              <w:rPr>
                <w:rFonts w:ascii="Arial" w:hAnsi="Arial" w:cs="Arial"/>
                <w:noProof/>
                <w:webHidden/>
              </w:rPr>
              <w:t>8</w:t>
            </w:r>
            <w:r w:rsidR="00294239" w:rsidRPr="00294239">
              <w:rPr>
                <w:rFonts w:ascii="Arial" w:hAnsi="Arial" w:cs="Arial"/>
                <w:noProof/>
                <w:webHidden/>
              </w:rPr>
              <w:fldChar w:fldCharType="end"/>
            </w:r>
          </w:hyperlink>
        </w:p>
        <w:p w14:paraId="4E3D3130" w14:textId="5AE02A89" w:rsidR="00294239" w:rsidRPr="00294239" w:rsidRDefault="007A6C3A">
          <w:pPr>
            <w:pStyle w:val="TDC1"/>
            <w:tabs>
              <w:tab w:val="left" w:pos="660"/>
              <w:tab w:val="right" w:leader="dot" w:pos="8828"/>
            </w:tabs>
            <w:rPr>
              <w:rFonts w:ascii="Arial" w:eastAsiaTheme="minorEastAsia" w:hAnsi="Arial" w:cs="Arial"/>
              <w:noProof/>
              <w:lang w:eastAsia="es-CR"/>
            </w:rPr>
          </w:pPr>
          <w:hyperlink w:anchor="_Toc131075272" w:history="1">
            <w:r w:rsidR="00294239" w:rsidRPr="00294239">
              <w:rPr>
                <w:rStyle w:val="Hipervnculo"/>
                <w:rFonts w:ascii="Arial" w:hAnsi="Arial" w:cs="Arial"/>
                <w:b/>
                <w:bCs/>
                <w:noProof/>
                <w:kern w:val="28"/>
                <w:lang w:eastAsia="es-ES"/>
              </w:rPr>
              <w:t>2.3</w:t>
            </w:r>
            <w:r w:rsidR="00294239" w:rsidRPr="00294239">
              <w:rPr>
                <w:rFonts w:ascii="Arial" w:eastAsiaTheme="minorEastAsia" w:hAnsi="Arial" w:cs="Arial"/>
                <w:noProof/>
                <w:lang w:eastAsia="es-CR"/>
              </w:rPr>
              <w:tab/>
            </w:r>
            <w:r w:rsidR="00294239" w:rsidRPr="00294239">
              <w:rPr>
                <w:rStyle w:val="Hipervnculo"/>
                <w:rFonts w:ascii="Arial" w:hAnsi="Arial" w:cs="Arial"/>
                <w:b/>
                <w:bCs/>
                <w:noProof/>
                <w:kern w:val="28"/>
                <w:lang w:eastAsia="es-ES"/>
              </w:rPr>
              <w:t>Sobre el seguimiento de las recomendaciones emitidas por la Unidad de Control y Seguimiento del Endeudamiento Público</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_Toc131075272 \h </w:instrText>
            </w:r>
            <w:r w:rsidR="00294239" w:rsidRPr="00294239">
              <w:rPr>
                <w:rFonts w:ascii="Arial" w:hAnsi="Arial" w:cs="Arial"/>
                <w:noProof/>
                <w:webHidden/>
              </w:rPr>
            </w:r>
            <w:r w:rsidR="00294239" w:rsidRPr="00294239">
              <w:rPr>
                <w:rFonts w:ascii="Arial" w:hAnsi="Arial" w:cs="Arial"/>
                <w:noProof/>
                <w:webHidden/>
              </w:rPr>
              <w:fldChar w:fldCharType="separate"/>
            </w:r>
            <w:r>
              <w:rPr>
                <w:rFonts w:ascii="Arial" w:hAnsi="Arial" w:cs="Arial"/>
                <w:noProof/>
                <w:webHidden/>
              </w:rPr>
              <w:t>8</w:t>
            </w:r>
            <w:r w:rsidR="00294239" w:rsidRPr="00294239">
              <w:rPr>
                <w:rFonts w:ascii="Arial" w:hAnsi="Arial" w:cs="Arial"/>
                <w:noProof/>
                <w:webHidden/>
              </w:rPr>
              <w:fldChar w:fldCharType="end"/>
            </w:r>
          </w:hyperlink>
        </w:p>
        <w:p w14:paraId="1C94D3C9" w14:textId="1B9EB2F9" w:rsidR="00294239" w:rsidRPr="00294239" w:rsidRDefault="007A6C3A">
          <w:pPr>
            <w:pStyle w:val="TDC1"/>
            <w:tabs>
              <w:tab w:val="left" w:pos="440"/>
              <w:tab w:val="right" w:leader="dot" w:pos="8828"/>
            </w:tabs>
            <w:rPr>
              <w:rFonts w:ascii="Arial" w:eastAsiaTheme="minorEastAsia" w:hAnsi="Arial" w:cs="Arial"/>
              <w:noProof/>
              <w:lang w:eastAsia="es-CR"/>
            </w:rPr>
          </w:pPr>
          <w:hyperlink w:anchor="_Toc131075273" w:history="1">
            <w:r w:rsidR="00294239" w:rsidRPr="00294239">
              <w:rPr>
                <w:rStyle w:val="Hipervnculo"/>
                <w:rFonts w:ascii="Arial" w:hAnsi="Arial" w:cs="Arial"/>
                <w:b/>
                <w:bCs/>
                <w:noProof/>
                <w:kern w:val="28"/>
                <w:lang w:eastAsia="es-ES"/>
              </w:rPr>
              <w:t>3</w:t>
            </w:r>
            <w:r w:rsidR="00294239" w:rsidRPr="00294239">
              <w:rPr>
                <w:rFonts w:ascii="Arial" w:eastAsiaTheme="minorEastAsia" w:hAnsi="Arial" w:cs="Arial"/>
                <w:noProof/>
                <w:lang w:eastAsia="es-CR"/>
              </w:rPr>
              <w:tab/>
            </w:r>
            <w:r w:rsidR="00294239" w:rsidRPr="00294239">
              <w:rPr>
                <w:rStyle w:val="Hipervnculo"/>
                <w:rFonts w:ascii="Arial" w:hAnsi="Arial" w:cs="Arial"/>
                <w:b/>
                <w:bCs/>
                <w:noProof/>
                <w:kern w:val="28"/>
                <w:lang w:eastAsia="es-ES"/>
              </w:rPr>
              <w:t>CONCLUSIÓN</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_Toc131075273 \h </w:instrText>
            </w:r>
            <w:r w:rsidR="00294239" w:rsidRPr="00294239">
              <w:rPr>
                <w:rFonts w:ascii="Arial" w:hAnsi="Arial" w:cs="Arial"/>
                <w:noProof/>
                <w:webHidden/>
              </w:rPr>
            </w:r>
            <w:r w:rsidR="00294239" w:rsidRPr="00294239">
              <w:rPr>
                <w:rFonts w:ascii="Arial" w:hAnsi="Arial" w:cs="Arial"/>
                <w:noProof/>
                <w:webHidden/>
              </w:rPr>
              <w:fldChar w:fldCharType="separate"/>
            </w:r>
            <w:r>
              <w:rPr>
                <w:rFonts w:ascii="Arial" w:hAnsi="Arial" w:cs="Arial"/>
                <w:noProof/>
                <w:webHidden/>
              </w:rPr>
              <w:t>10</w:t>
            </w:r>
            <w:r w:rsidR="00294239" w:rsidRPr="00294239">
              <w:rPr>
                <w:rFonts w:ascii="Arial" w:hAnsi="Arial" w:cs="Arial"/>
                <w:noProof/>
                <w:webHidden/>
              </w:rPr>
              <w:fldChar w:fldCharType="end"/>
            </w:r>
          </w:hyperlink>
        </w:p>
        <w:p w14:paraId="148D753A" w14:textId="122480BB" w:rsidR="00294239" w:rsidRPr="00294239" w:rsidRDefault="007A6C3A">
          <w:pPr>
            <w:pStyle w:val="TDC1"/>
            <w:tabs>
              <w:tab w:val="left" w:pos="440"/>
              <w:tab w:val="right" w:leader="dot" w:pos="8828"/>
            </w:tabs>
            <w:rPr>
              <w:rFonts w:ascii="Arial" w:eastAsiaTheme="minorEastAsia" w:hAnsi="Arial" w:cs="Arial"/>
              <w:noProof/>
              <w:lang w:eastAsia="es-CR"/>
            </w:rPr>
          </w:pPr>
          <w:hyperlink w:anchor="_Toc131075274" w:history="1">
            <w:r w:rsidR="00294239" w:rsidRPr="00294239">
              <w:rPr>
                <w:rStyle w:val="Hipervnculo"/>
                <w:rFonts w:ascii="Arial" w:hAnsi="Arial" w:cs="Arial"/>
                <w:b/>
                <w:bCs/>
                <w:noProof/>
                <w:kern w:val="28"/>
                <w:lang w:eastAsia="es-ES"/>
              </w:rPr>
              <w:t>4</w:t>
            </w:r>
            <w:r w:rsidR="00294239" w:rsidRPr="00294239">
              <w:rPr>
                <w:rFonts w:ascii="Arial" w:eastAsiaTheme="minorEastAsia" w:hAnsi="Arial" w:cs="Arial"/>
                <w:noProof/>
                <w:lang w:eastAsia="es-CR"/>
              </w:rPr>
              <w:tab/>
            </w:r>
            <w:r w:rsidR="00294239" w:rsidRPr="00294239">
              <w:rPr>
                <w:rStyle w:val="Hipervnculo"/>
                <w:rFonts w:ascii="Arial" w:hAnsi="Arial" w:cs="Arial"/>
                <w:b/>
                <w:bCs/>
                <w:noProof/>
                <w:kern w:val="28"/>
                <w:lang w:eastAsia="es-ES"/>
              </w:rPr>
              <w:t>RECOMENDACIONES</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_Toc131075274 \h </w:instrText>
            </w:r>
            <w:r w:rsidR="00294239" w:rsidRPr="00294239">
              <w:rPr>
                <w:rFonts w:ascii="Arial" w:hAnsi="Arial" w:cs="Arial"/>
                <w:noProof/>
                <w:webHidden/>
              </w:rPr>
            </w:r>
            <w:r w:rsidR="00294239" w:rsidRPr="00294239">
              <w:rPr>
                <w:rFonts w:ascii="Arial" w:hAnsi="Arial" w:cs="Arial"/>
                <w:noProof/>
                <w:webHidden/>
              </w:rPr>
              <w:fldChar w:fldCharType="separate"/>
            </w:r>
            <w:r>
              <w:rPr>
                <w:rFonts w:ascii="Arial" w:hAnsi="Arial" w:cs="Arial"/>
                <w:noProof/>
                <w:webHidden/>
              </w:rPr>
              <w:t>10</w:t>
            </w:r>
            <w:r w:rsidR="00294239" w:rsidRPr="00294239">
              <w:rPr>
                <w:rFonts w:ascii="Arial" w:hAnsi="Arial" w:cs="Arial"/>
                <w:noProof/>
                <w:webHidden/>
              </w:rPr>
              <w:fldChar w:fldCharType="end"/>
            </w:r>
          </w:hyperlink>
        </w:p>
        <w:p w14:paraId="11D6F62F" w14:textId="3419333E" w:rsidR="00294239" w:rsidRPr="00294239" w:rsidRDefault="007A6C3A">
          <w:pPr>
            <w:pStyle w:val="TDC1"/>
            <w:tabs>
              <w:tab w:val="right" w:leader="dot" w:pos="8828"/>
            </w:tabs>
            <w:rPr>
              <w:rFonts w:ascii="Arial" w:eastAsiaTheme="minorEastAsia" w:hAnsi="Arial" w:cs="Arial"/>
              <w:noProof/>
              <w:lang w:eastAsia="es-CR"/>
            </w:rPr>
          </w:pPr>
          <w:hyperlink w:anchor="_Toc131075275" w:history="1">
            <w:r w:rsidR="00294239" w:rsidRPr="00294239">
              <w:rPr>
                <w:rStyle w:val="Hipervnculo"/>
                <w:rFonts w:ascii="Arial" w:hAnsi="Arial" w:cs="Arial"/>
                <w:b/>
                <w:bCs/>
                <w:noProof/>
                <w:kern w:val="28"/>
                <w:lang w:eastAsia="es-ES"/>
              </w:rPr>
              <w:t>ANEXO N°1</w:t>
            </w:r>
            <w:r w:rsidR="00294239" w:rsidRPr="00294239">
              <w:rPr>
                <w:rFonts w:ascii="Arial" w:hAnsi="Arial" w:cs="Arial"/>
                <w:noProof/>
                <w:webHidden/>
              </w:rPr>
              <w:tab/>
            </w:r>
            <w:r w:rsidR="00294239" w:rsidRPr="00294239">
              <w:rPr>
                <w:rFonts w:ascii="Arial" w:hAnsi="Arial" w:cs="Arial"/>
                <w:noProof/>
                <w:webHidden/>
              </w:rPr>
              <w:fldChar w:fldCharType="begin"/>
            </w:r>
            <w:r w:rsidR="00294239" w:rsidRPr="00294239">
              <w:rPr>
                <w:rFonts w:ascii="Arial" w:hAnsi="Arial" w:cs="Arial"/>
                <w:noProof/>
                <w:webHidden/>
              </w:rPr>
              <w:instrText xml:space="preserve"> PAGEREF _Toc131075275 \h </w:instrText>
            </w:r>
            <w:r w:rsidR="00294239" w:rsidRPr="00294239">
              <w:rPr>
                <w:rFonts w:ascii="Arial" w:hAnsi="Arial" w:cs="Arial"/>
                <w:noProof/>
                <w:webHidden/>
              </w:rPr>
            </w:r>
            <w:r w:rsidR="00294239" w:rsidRPr="00294239">
              <w:rPr>
                <w:rFonts w:ascii="Arial" w:hAnsi="Arial" w:cs="Arial"/>
                <w:noProof/>
                <w:webHidden/>
              </w:rPr>
              <w:fldChar w:fldCharType="separate"/>
            </w:r>
            <w:r>
              <w:rPr>
                <w:rFonts w:ascii="Arial" w:hAnsi="Arial" w:cs="Arial"/>
                <w:noProof/>
                <w:webHidden/>
              </w:rPr>
              <w:t>12</w:t>
            </w:r>
            <w:r w:rsidR="00294239" w:rsidRPr="00294239">
              <w:rPr>
                <w:rFonts w:ascii="Arial" w:hAnsi="Arial" w:cs="Arial"/>
                <w:noProof/>
                <w:webHidden/>
              </w:rPr>
              <w:fldChar w:fldCharType="end"/>
            </w:r>
          </w:hyperlink>
        </w:p>
        <w:p w14:paraId="627D7B78" w14:textId="0C4A1769" w:rsidR="00801429" w:rsidRPr="0054290C" w:rsidRDefault="00801429" w:rsidP="00801429">
          <w:pPr>
            <w:spacing w:after="0" w:line="276" w:lineRule="auto"/>
            <w:rPr>
              <w:rFonts w:ascii="Arial" w:hAnsi="Arial" w:cs="Arial"/>
              <w:sz w:val="24"/>
              <w:szCs w:val="24"/>
            </w:rPr>
          </w:pPr>
          <w:r w:rsidRPr="00294239">
            <w:rPr>
              <w:rFonts w:ascii="Arial" w:hAnsi="Arial" w:cs="Arial"/>
              <w:bCs/>
            </w:rPr>
            <w:fldChar w:fldCharType="end"/>
          </w:r>
        </w:p>
        <w:bookmarkStart w:id="3" w:name="_Toc390783321" w:displacedByCustomXml="next"/>
        <w:bookmarkStart w:id="4" w:name="_Toc363725340" w:displacedByCustomXml="next"/>
      </w:sdtContent>
    </w:sdt>
    <w:p w14:paraId="02F68449" w14:textId="77777777" w:rsidR="00801429" w:rsidRDefault="00801429" w:rsidP="00801429">
      <w:pPr>
        <w:spacing w:after="0" w:line="276" w:lineRule="auto"/>
        <w:rPr>
          <w:rFonts w:ascii="Arial" w:hAnsi="Arial" w:cs="Arial"/>
          <w:b/>
          <w:color w:val="44546A" w:themeColor="text2"/>
          <w:sz w:val="24"/>
          <w:szCs w:val="24"/>
        </w:rPr>
      </w:pPr>
      <w:r>
        <w:rPr>
          <w:rFonts w:ascii="Arial" w:hAnsi="Arial" w:cs="Arial"/>
          <w:b/>
          <w:color w:val="44546A" w:themeColor="text2"/>
          <w:sz w:val="24"/>
          <w:szCs w:val="24"/>
        </w:rPr>
        <w:br w:type="page"/>
      </w:r>
    </w:p>
    <w:p w14:paraId="463DA841" w14:textId="77777777" w:rsidR="00801429" w:rsidRDefault="00801429" w:rsidP="00801429">
      <w:pPr>
        <w:spacing w:after="0" w:line="276" w:lineRule="auto"/>
        <w:rPr>
          <w:rFonts w:ascii="Arial" w:hAnsi="Arial" w:cs="Arial"/>
          <w:b/>
          <w:color w:val="44546A" w:themeColor="text2"/>
          <w:sz w:val="24"/>
          <w:szCs w:val="24"/>
        </w:rPr>
      </w:pPr>
    </w:p>
    <w:p w14:paraId="466CA73F" w14:textId="77777777" w:rsidR="00801429" w:rsidRDefault="00801429" w:rsidP="009240C5">
      <w:pPr>
        <w:pStyle w:val="Ttulo1"/>
        <w:keepNext w:val="0"/>
        <w:keepLines w:val="0"/>
        <w:spacing w:before="0" w:after="0"/>
        <w:ind w:right="49"/>
        <w:contextualSpacing/>
        <w:jc w:val="center"/>
        <w:rPr>
          <w:rFonts w:ascii="Arial" w:hAnsi="Arial" w:cs="Arial"/>
          <w:b/>
          <w:bCs/>
          <w:color w:val="44546A" w:themeColor="text2"/>
          <w:kern w:val="28"/>
          <w:sz w:val="28"/>
          <w:szCs w:val="28"/>
          <w:lang w:eastAsia="es-ES"/>
        </w:rPr>
      </w:pPr>
      <w:bookmarkStart w:id="5" w:name="_Toc131075259"/>
      <w:r w:rsidRPr="00D90A94">
        <w:rPr>
          <w:rFonts w:ascii="Arial" w:hAnsi="Arial" w:cs="Arial"/>
          <w:b/>
          <w:bCs/>
          <w:color w:val="44546A" w:themeColor="text2"/>
          <w:kern w:val="28"/>
          <w:sz w:val="28"/>
          <w:szCs w:val="28"/>
          <w:lang w:eastAsia="es-ES"/>
        </w:rPr>
        <w:t>RESUMEN EJECUTIVO</w:t>
      </w:r>
      <w:bookmarkEnd w:id="5"/>
      <w:bookmarkEnd w:id="4"/>
      <w:bookmarkEnd w:id="3"/>
    </w:p>
    <w:p w14:paraId="5159005D" w14:textId="77777777" w:rsidR="003F568E" w:rsidRPr="003F568E" w:rsidRDefault="003F568E" w:rsidP="003F568E">
      <w:pPr>
        <w:rPr>
          <w:lang w:eastAsia="es-ES"/>
        </w:rPr>
      </w:pPr>
    </w:p>
    <w:p w14:paraId="5E6FDFE0" w14:textId="77777777" w:rsidR="00801429" w:rsidRPr="00D90A94" w:rsidRDefault="00801429" w:rsidP="00362B66">
      <w:pPr>
        <w:spacing w:before="100" w:beforeAutospacing="1" w:after="100" w:afterAutospacing="1" w:line="240" w:lineRule="auto"/>
        <w:contextualSpacing/>
        <w:rPr>
          <w:rFonts w:ascii="Arial" w:eastAsiaTheme="minorEastAsia" w:hAnsi="Arial" w:cs="Arial"/>
          <w:b/>
          <w:color w:val="44546A" w:themeColor="text2"/>
          <w:sz w:val="24"/>
          <w:lang w:val="es-ES_tradnl" w:eastAsia="es-ES"/>
        </w:rPr>
      </w:pPr>
      <w:r w:rsidRPr="00D90A94">
        <w:rPr>
          <w:rFonts w:ascii="Arial" w:eastAsiaTheme="minorEastAsia" w:hAnsi="Arial" w:cs="Arial"/>
          <w:b/>
          <w:color w:val="44546A" w:themeColor="text2"/>
          <w:sz w:val="24"/>
          <w:lang w:val="es-ES_tradnl" w:eastAsia="es-ES"/>
        </w:rPr>
        <w:t>¿QUÉ EXAMINAMOS?</w:t>
      </w:r>
    </w:p>
    <w:p w14:paraId="04EC8A64" w14:textId="77777777" w:rsidR="00801429" w:rsidRPr="00D90A94" w:rsidRDefault="00801429" w:rsidP="00362B66">
      <w:pPr>
        <w:spacing w:before="100" w:beforeAutospacing="1" w:after="100" w:afterAutospacing="1" w:line="240" w:lineRule="auto"/>
        <w:contextualSpacing/>
        <w:rPr>
          <w:rFonts w:ascii="Arial" w:hAnsi="Arial" w:cs="Arial"/>
        </w:rPr>
      </w:pPr>
    </w:p>
    <w:p w14:paraId="0185D508" w14:textId="4D013546" w:rsidR="00997583" w:rsidRDefault="00970E7B" w:rsidP="00362B66">
      <w:pPr>
        <w:spacing w:before="100" w:beforeAutospacing="1" w:after="100" w:afterAutospacing="1" w:line="240" w:lineRule="auto"/>
        <w:contextualSpacing/>
        <w:jc w:val="both"/>
        <w:rPr>
          <w:rFonts w:ascii="Arial" w:hAnsi="Arial" w:cs="Arial"/>
        </w:rPr>
      </w:pPr>
      <w:r>
        <w:rPr>
          <w:rFonts w:ascii="Arial" w:hAnsi="Arial" w:cs="Arial"/>
        </w:rPr>
        <w:t>Se verificó</w:t>
      </w:r>
      <w:r w:rsidR="00FF34CD">
        <w:rPr>
          <w:rFonts w:ascii="Arial" w:hAnsi="Arial" w:cs="Arial"/>
        </w:rPr>
        <w:t xml:space="preserve"> s</w:t>
      </w:r>
      <w:r w:rsidR="00FF34CD" w:rsidRPr="00921B6A">
        <w:rPr>
          <w:rFonts w:ascii="Arial" w:hAnsi="Arial" w:cs="Arial"/>
          <w:szCs w:val="24"/>
        </w:rPr>
        <w:t>i la Dirección Crédito Público dispone de las medidas de control que brinde</w:t>
      </w:r>
      <w:r w:rsidR="00FF34CD">
        <w:rPr>
          <w:rFonts w:ascii="Arial" w:hAnsi="Arial" w:cs="Arial"/>
          <w:szCs w:val="24"/>
        </w:rPr>
        <w:t>n</w:t>
      </w:r>
      <w:r w:rsidR="00FF34CD" w:rsidRPr="00921B6A">
        <w:rPr>
          <w:rFonts w:ascii="Arial" w:hAnsi="Arial" w:cs="Arial"/>
          <w:szCs w:val="24"/>
        </w:rPr>
        <w:t xml:space="preserve"> una seguridad razonable </w:t>
      </w:r>
      <w:r w:rsidR="00367C4B">
        <w:rPr>
          <w:rFonts w:ascii="Arial" w:hAnsi="Arial" w:cs="Arial"/>
          <w:szCs w:val="24"/>
        </w:rPr>
        <w:t xml:space="preserve">para </w:t>
      </w:r>
      <w:r w:rsidR="00FF34CD" w:rsidRPr="00921B6A">
        <w:rPr>
          <w:rFonts w:ascii="Arial" w:hAnsi="Arial" w:cs="Arial"/>
          <w:szCs w:val="24"/>
        </w:rPr>
        <w:t>que los programas y proyectos de inversión financiados con créditos externos, cumplan con los objetivos, la normativa, la salvaguarda de los recursos y la confiabilidad de la información</w:t>
      </w:r>
      <w:r w:rsidR="00292291" w:rsidRPr="00D90A94">
        <w:rPr>
          <w:rFonts w:ascii="Arial" w:hAnsi="Arial" w:cs="Arial"/>
        </w:rPr>
        <w:t xml:space="preserve">. </w:t>
      </w:r>
    </w:p>
    <w:p w14:paraId="064A37F3" w14:textId="77777777" w:rsidR="003F7388" w:rsidRDefault="003F7388" w:rsidP="00362B66">
      <w:pPr>
        <w:spacing w:before="100" w:beforeAutospacing="1" w:after="100" w:afterAutospacing="1" w:line="240" w:lineRule="auto"/>
        <w:contextualSpacing/>
        <w:jc w:val="both"/>
        <w:rPr>
          <w:rFonts w:ascii="Arial" w:hAnsi="Arial" w:cs="Arial"/>
        </w:rPr>
      </w:pPr>
    </w:p>
    <w:p w14:paraId="685126EA" w14:textId="77777777" w:rsidR="0024685A" w:rsidRPr="00D90A94" w:rsidRDefault="00081ABD" w:rsidP="00362B66">
      <w:pPr>
        <w:spacing w:before="100" w:beforeAutospacing="1" w:after="100" w:afterAutospacing="1" w:line="240" w:lineRule="auto"/>
        <w:contextualSpacing/>
        <w:jc w:val="both"/>
        <w:rPr>
          <w:rFonts w:ascii="Arial" w:hAnsi="Arial" w:cs="Arial"/>
        </w:rPr>
      </w:pPr>
      <w:r w:rsidRPr="00081ABD">
        <w:rPr>
          <w:rFonts w:ascii="Arial" w:hAnsi="Arial" w:cs="Arial"/>
        </w:rPr>
        <w:t xml:space="preserve">El periodo de </w:t>
      </w:r>
      <w:r>
        <w:rPr>
          <w:rFonts w:ascii="Arial" w:hAnsi="Arial" w:cs="Arial"/>
        </w:rPr>
        <w:t xml:space="preserve">la </w:t>
      </w:r>
      <w:r w:rsidRPr="00081ABD">
        <w:rPr>
          <w:rFonts w:ascii="Arial" w:hAnsi="Arial" w:cs="Arial"/>
        </w:rPr>
        <w:t>evaluación correspondió del 01 de enero del 2022 al 30 de noviembre de 2022, ampliándose cuando se consideró necesario.</w:t>
      </w:r>
    </w:p>
    <w:p w14:paraId="0C4EC8D8" w14:textId="77777777" w:rsidR="00292291" w:rsidRDefault="00292291" w:rsidP="00362B66">
      <w:pPr>
        <w:spacing w:before="100" w:beforeAutospacing="1" w:after="100" w:afterAutospacing="1" w:line="240" w:lineRule="auto"/>
        <w:contextualSpacing/>
        <w:rPr>
          <w:rFonts w:ascii="Arial" w:hAnsi="Arial" w:cs="Arial"/>
        </w:rPr>
      </w:pPr>
    </w:p>
    <w:p w14:paraId="35D8B340" w14:textId="77777777" w:rsidR="00801429" w:rsidRPr="00D90A94" w:rsidRDefault="00801429" w:rsidP="00362B66">
      <w:pPr>
        <w:spacing w:before="100" w:beforeAutospacing="1" w:after="100" w:afterAutospacing="1" w:line="240" w:lineRule="auto"/>
        <w:contextualSpacing/>
        <w:rPr>
          <w:rFonts w:ascii="Arial" w:eastAsiaTheme="minorEastAsia" w:hAnsi="Arial" w:cs="Arial"/>
          <w:b/>
          <w:color w:val="44546A" w:themeColor="text2"/>
          <w:sz w:val="24"/>
          <w:lang w:val="es-ES_tradnl" w:eastAsia="es-ES"/>
        </w:rPr>
      </w:pPr>
      <w:r w:rsidRPr="00D90A94">
        <w:rPr>
          <w:rFonts w:ascii="Arial" w:eastAsiaTheme="minorEastAsia" w:hAnsi="Arial" w:cs="Arial"/>
          <w:b/>
          <w:color w:val="44546A" w:themeColor="text2"/>
          <w:sz w:val="24"/>
          <w:lang w:val="es-ES_tradnl" w:eastAsia="es-ES"/>
        </w:rPr>
        <w:t>¿POR QUÉ ES IMPORTANTE?</w:t>
      </w:r>
    </w:p>
    <w:p w14:paraId="55617F35" w14:textId="77777777" w:rsidR="00801429" w:rsidRPr="00D90A94" w:rsidRDefault="00801429" w:rsidP="00362B66">
      <w:pPr>
        <w:spacing w:before="100" w:beforeAutospacing="1" w:after="100" w:afterAutospacing="1" w:line="240" w:lineRule="auto"/>
        <w:contextualSpacing/>
        <w:rPr>
          <w:rFonts w:ascii="Arial" w:hAnsi="Arial" w:cs="Arial"/>
        </w:rPr>
      </w:pPr>
    </w:p>
    <w:p w14:paraId="1859EFBE" w14:textId="4EB1DF30" w:rsidR="002E12A5" w:rsidRPr="002E12A5" w:rsidRDefault="00C75826" w:rsidP="002E12A5">
      <w:pPr>
        <w:spacing w:before="100" w:beforeAutospacing="1" w:after="100" w:afterAutospacing="1" w:line="240" w:lineRule="auto"/>
        <w:contextualSpacing/>
        <w:jc w:val="both"/>
        <w:rPr>
          <w:rFonts w:ascii="Arial" w:hAnsi="Arial" w:cs="Arial"/>
        </w:rPr>
      </w:pPr>
      <w:r>
        <w:rPr>
          <w:rFonts w:ascii="Arial" w:hAnsi="Arial" w:cs="Arial"/>
        </w:rPr>
        <w:t>E</w:t>
      </w:r>
      <w:r w:rsidR="002E12A5" w:rsidRPr="002E12A5">
        <w:rPr>
          <w:rFonts w:ascii="Arial" w:hAnsi="Arial" w:cs="Arial"/>
        </w:rPr>
        <w:t>l Reglamento de Organización de la Dirección de Crédito Público No. 38305-H</w:t>
      </w:r>
      <w:r w:rsidR="002E12A5">
        <w:rPr>
          <w:rFonts w:ascii="Arial" w:hAnsi="Arial" w:cs="Arial"/>
        </w:rPr>
        <w:t xml:space="preserve">, </w:t>
      </w:r>
      <w:r w:rsidR="002E12A5" w:rsidRPr="002E12A5">
        <w:rPr>
          <w:rFonts w:ascii="Arial" w:hAnsi="Arial" w:cs="Arial"/>
        </w:rPr>
        <w:t xml:space="preserve">señala en el artículo </w:t>
      </w:r>
      <w:r w:rsidR="00367C4B">
        <w:rPr>
          <w:rFonts w:ascii="Arial" w:hAnsi="Arial" w:cs="Arial"/>
        </w:rPr>
        <w:t>N°</w:t>
      </w:r>
      <w:r w:rsidR="002E12A5" w:rsidRPr="002E12A5">
        <w:rPr>
          <w:rFonts w:ascii="Arial" w:hAnsi="Arial" w:cs="Arial"/>
        </w:rPr>
        <w:t>11 que la Unidad de Control y Seguimiento del Endeudamiento Público tiene como objetivo el promover el uso adecuado del crédito por parte del Sector Público mediante el seguimiento al endeudamiento público externo donde el Gobierno figure como deudor o garante y a las Unidades Ejecutoras de los proyectos/créditos en ejecución.</w:t>
      </w:r>
    </w:p>
    <w:p w14:paraId="4D4F1D8C" w14:textId="77777777" w:rsidR="002E12A5" w:rsidRPr="002E12A5" w:rsidRDefault="002E12A5" w:rsidP="002E12A5">
      <w:pPr>
        <w:spacing w:after="0" w:line="240" w:lineRule="auto"/>
        <w:contextualSpacing/>
        <w:jc w:val="both"/>
        <w:rPr>
          <w:rFonts w:ascii="Arial" w:hAnsi="Arial" w:cs="Arial"/>
        </w:rPr>
      </w:pPr>
    </w:p>
    <w:p w14:paraId="6F2D4F4F" w14:textId="77777777" w:rsidR="002E12A5" w:rsidRPr="002E12A5" w:rsidRDefault="00C75826" w:rsidP="00FF34CD">
      <w:pPr>
        <w:spacing w:after="0" w:line="240" w:lineRule="auto"/>
        <w:contextualSpacing/>
        <w:jc w:val="both"/>
        <w:rPr>
          <w:rFonts w:ascii="Arial" w:hAnsi="Arial" w:cs="Arial"/>
        </w:rPr>
      </w:pPr>
      <w:r>
        <w:rPr>
          <w:rFonts w:ascii="Arial" w:hAnsi="Arial" w:cs="Arial"/>
        </w:rPr>
        <w:t>A</w:t>
      </w:r>
      <w:r w:rsidR="003F568E">
        <w:rPr>
          <w:rFonts w:ascii="Arial" w:hAnsi="Arial" w:cs="Arial"/>
        </w:rPr>
        <w:t xml:space="preserve"> la</w:t>
      </w:r>
      <w:r w:rsidR="002E12A5" w:rsidRPr="002E12A5">
        <w:rPr>
          <w:rFonts w:ascii="Arial" w:hAnsi="Arial" w:cs="Arial"/>
        </w:rPr>
        <w:t xml:space="preserve"> Unidad </w:t>
      </w:r>
      <w:r w:rsidR="003F568E" w:rsidRPr="00C740BD">
        <w:rPr>
          <w:rFonts w:ascii="Arial" w:hAnsi="Arial" w:cs="Arial"/>
          <w:szCs w:val="24"/>
        </w:rPr>
        <w:t>de Control y Seguimiento del Endeudamiento Público</w:t>
      </w:r>
      <w:r w:rsidR="003F568E" w:rsidRPr="002E12A5">
        <w:rPr>
          <w:rFonts w:ascii="Arial" w:hAnsi="Arial" w:cs="Arial"/>
        </w:rPr>
        <w:t xml:space="preserve"> </w:t>
      </w:r>
      <w:r>
        <w:rPr>
          <w:rFonts w:ascii="Arial" w:hAnsi="Arial" w:cs="Arial"/>
        </w:rPr>
        <w:t xml:space="preserve">de la Dirección de Crédito Público </w:t>
      </w:r>
      <w:r w:rsidR="002E12A5" w:rsidRPr="002E12A5">
        <w:rPr>
          <w:rFonts w:ascii="Arial" w:hAnsi="Arial" w:cs="Arial"/>
        </w:rPr>
        <w:t>le corresponde</w:t>
      </w:r>
      <w:r w:rsidR="003F568E">
        <w:rPr>
          <w:rFonts w:ascii="Arial" w:hAnsi="Arial" w:cs="Arial"/>
        </w:rPr>
        <w:t>,</w:t>
      </w:r>
      <w:r w:rsidR="002E12A5" w:rsidRPr="002E12A5">
        <w:rPr>
          <w:rFonts w:ascii="Arial" w:hAnsi="Arial" w:cs="Arial"/>
        </w:rPr>
        <w:t xml:space="preserve"> entre otros aspectos</w:t>
      </w:r>
      <w:r w:rsidR="003F568E">
        <w:rPr>
          <w:rFonts w:ascii="Arial" w:hAnsi="Arial" w:cs="Arial"/>
        </w:rPr>
        <w:t>,</w:t>
      </w:r>
      <w:r w:rsidR="002E12A5" w:rsidRPr="002E12A5">
        <w:rPr>
          <w:rFonts w:ascii="Arial" w:hAnsi="Arial" w:cs="Arial"/>
        </w:rPr>
        <w:t xml:space="preserve"> </w:t>
      </w:r>
      <w:r w:rsidR="00FF34CD">
        <w:rPr>
          <w:rFonts w:ascii="Arial" w:hAnsi="Arial" w:cs="Arial"/>
        </w:rPr>
        <w:t>analizar</w:t>
      </w:r>
      <w:r w:rsidR="002E12A5" w:rsidRPr="002E12A5">
        <w:rPr>
          <w:rFonts w:ascii="Arial" w:hAnsi="Arial" w:cs="Arial"/>
        </w:rPr>
        <w:t xml:space="preserve"> y evaluar los informes de ejecución presentados por las Unidades Ejecutoras de proyectos según las programaciones de actividades y desembolsos</w:t>
      </w:r>
      <w:r w:rsidR="00FF34CD">
        <w:rPr>
          <w:rFonts w:ascii="Arial" w:hAnsi="Arial" w:cs="Arial"/>
        </w:rPr>
        <w:t>; dar</w:t>
      </w:r>
      <w:r w:rsidR="002E12A5" w:rsidRPr="002E12A5">
        <w:rPr>
          <w:rFonts w:ascii="Arial" w:hAnsi="Arial" w:cs="Arial"/>
        </w:rPr>
        <w:t xml:space="preserve"> seguimiento a los créditos externos que se encuentran en ejecución</w:t>
      </w:r>
      <w:r w:rsidR="00FF34CD">
        <w:rPr>
          <w:rFonts w:ascii="Arial" w:hAnsi="Arial" w:cs="Arial"/>
        </w:rPr>
        <w:t xml:space="preserve"> y elaborar </w:t>
      </w:r>
      <w:r w:rsidR="002E12A5" w:rsidRPr="002E12A5">
        <w:rPr>
          <w:rFonts w:ascii="Arial" w:hAnsi="Arial" w:cs="Arial"/>
        </w:rPr>
        <w:t>informes de seguimiento semestral de los créditos externos en ejecución, mostrando el desempeño de las Unidades Ejecutoras, el avance físico y financiero del proyecto, entre otros.</w:t>
      </w:r>
    </w:p>
    <w:p w14:paraId="38488688" w14:textId="77777777" w:rsidR="002E12A5" w:rsidRDefault="002E12A5" w:rsidP="002E12A5">
      <w:pPr>
        <w:spacing w:after="0" w:line="240" w:lineRule="auto"/>
        <w:contextualSpacing/>
        <w:jc w:val="both"/>
        <w:rPr>
          <w:rFonts w:ascii="Arial" w:hAnsi="Arial" w:cs="Arial"/>
        </w:rPr>
      </w:pPr>
    </w:p>
    <w:p w14:paraId="515DDA8F" w14:textId="18CC02BE" w:rsidR="002E12A5" w:rsidRDefault="00970E7B" w:rsidP="002E12A5">
      <w:pPr>
        <w:spacing w:before="100" w:beforeAutospacing="1" w:after="100" w:afterAutospacing="1" w:line="240" w:lineRule="auto"/>
        <w:contextualSpacing/>
        <w:jc w:val="both"/>
        <w:rPr>
          <w:rFonts w:ascii="Arial" w:hAnsi="Arial" w:cs="Arial"/>
        </w:rPr>
      </w:pPr>
      <w:r>
        <w:rPr>
          <w:rFonts w:ascii="Arial" w:hAnsi="Arial" w:cs="Arial"/>
        </w:rPr>
        <w:t>D</w:t>
      </w:r>
      <w:r w:rsidR="002E12A5" w:rsidRPr="002E12A5">
        <w:rPr>
          <w:rFonts w:ascii="Arial" w:hAnsi="Arial" w:cs="Arial"/>
        </w:rPr>
        <w:t xml:space="preserve">urante el periodo </w:t>
      </w:r>
      <w:r w:rsidR="00FF34CD">
        <w:rPr>
          <w:rFonts w:ascii="Arial" w:hAnsi="Arial" w:cs="Arial"/>
        </w:rPr>
        <w:t xml:space="preserve">de enero a diciembre de </w:t>
      </w:r>
      <w:r w:rsidR="002E12A5" w:rsidRPr="002E12A5">
        <w:rPr>
          <w:rFonts w:ascii="Arial" w:hAnsi="Arial" w:cs="Arial"/>
        </w:rPr>
        <w:t>2022</w:t>
      </w:r>
      <w:r w:rsidR="002E12A5">
        <w:rPr>
          <w:rFonts w:ascii="Arial" w:hAnsi="Arial" w:cs="Arial"/>
        </w:rPr>
        <w:t>,</w:t>
      </w:r>
      <w:r w:rsidR="002E12A5" w:rsidRPr="002E12A5">
        <w:rPr>
          <w:rFonts w:ascii="Arial" w:hAnsi="Arial" w:cs="Arial"/>
        </w:rPr>
        <w:t xml:space="preserve"> </w:t>
      </w:r>
      <w:r>
        <w:rPr>
          <w:rFonts w:ascii="Arial" w:hAnsi="Arial" w:cs="Arial"/>
        </w:rPr>
        <w:t xml:space="preserve">se </w:t>
      </w:r>
      <w:r w:rsidR="002E12A5" w:rsidRPr="002E12A5">
        <w:rPr>
          <w:rFonts w:ascii="Arial" w:hAnsi="Arial" w:cs="Arial"/>
        </w:rPr>
        <w:t>dispone de una cartera de 25 préstamos en ejecución</w:t>
      </w:r>
      <w:r w:rsidR="00FF34CD">
        <w:rPr>
          <w:rFonts w:ascii="Arial" w:hAnsi="Arial" w:cs="Arial"/>
        </w:rPr>
        <w:t>,</w:t>
      </w:r>
      <w:r w:rsidR="002E12A5" w:rsidRPr="002E12A5">
        <w:rPr>
          <w:rFonts w:ascii="Arial" w:hAnsi="Arial" w:cs="Arial"/>
        </w:rPr>
        <w:t xml:space="preserve"> que corresponden a los diferentes programas/proyectos</w:t>
      </w:r>
      <w:r w:rsidR="002E12A5">
        <w:rPr>
          <w:rFonts w:ascii="Arial" w:hAnsi="Arial" w:cs="Arial"/>
        </w:rPr>
        <w:t>,</w:t>
      </w:r>
      <w:r w:rsidR="002E12A5" w:rsidRPr="002E12A5">
        <w:rPr>
          <w:rFonts w:ascii="Arial" w:hAnsi="Arial" w:cs="Arial"/>
        </w:rPr>
        <w:t xml:space="preserve"> por un monto de $4.193.918.022,65</w:t>
      </w:r>
      <w:r w:rsidR="002E12A5">
        <w:rPr>
          <w:rStyle w:val="Refdenotaalpie"/>
          <w:rFonts w:ascii="Arial" w:hAnsi="Arial" w:cs="Arial"/>
        </w:rPr>
        <w:footnoteReference w:id="1"/>
      </w:r>
      <w:r w:rsidR="002E12A5">
        <w:rPr>
          <w:rFonts w:ascii="Arial" w:hAnsi="Arial" w:cs="Arial"/>
        </w:rPr>
        <w:t>.</w:t>
      </w:r>
    </w:p>
    <w:p w14:paraId="189680E9" w14:textId="77777777" w:rsidR="00801429" w:rsidRDefault="00801429" w:rsidP="00362B66">
      <w:pPr>
        <w:spacing w:before="100" w:beforeAutospacing="1" w:after="100" w:afterAutospacing="1" w:line="240" w:lineRule="auto"/>
        <w:contextualSpacing/>
        <w:rPr>
          <w:rFonts w:ascii="Arial" w:hAnsi="Arial" w:cs="Arial"/>
        </w:rPr>
      </w:pPr>
    </w:p>
    <w:p w14:paraId="77BB9A16" w14:textId="77777777" w:rsidR="00801429" w:rsidRPr="00D90A94" w:rsidRDefault="00801429" w:rsidP="00362B66">
      <w:pPr>
        <w:spacing w:before="100" w:beforeAutospacing="1" w:after="100" w:afterAutospacing="1" w:line="240" w:lineRule="auto"/>
        <w:contextualSpacing/>
        <w:rPr>
          <w:rFonts w:ascii="Arial" w:eastAsiaTheme="minorEastAsia" w:hAnsi="Arial" w:cs="Arial"/>
          <w:b/>
          <w:color w:val="44546A" w:themeColor="text2"/>
          <w:sz w:val="24"/>
          <w:lang w:val="es-ES_tradnl" w:eastAsia="es-ES"/>
        </w:rPr>
      </w:pPr>
      <w:r w:rsidRPr="00D90A94">
        <w:rPr>
          <w:rFonts w:ascii="Arial" w:eastAsiaTheme="minorEastAsia" w:hAnsi="Arial" w:cs="Arial"/>
          <w:b/>
          <w:color w:val="44546A" w:themeColor="text2"/>
          <w:sz w:val="24"/>
          <w:lang w:val="es-ES_tradnl" w:eastAsia="es-ES"/>
        </w:rPr>
        <w:t>¿QUÉ ENCONTRAMOS?</w:t>
      </w:r>
    </w:p>
    <w:p w14:paraId="73132FCE" w14:textId="77777777" w:rsidR="00801429" w:rsidRPr="00D90A94" w:rsidRDefault="00801429" w:rsidP="00362B66">
      <w:pPr>
        <w:spacing w:before="100" w:beforeAutospacing="1" w:after="100" w:afterAutospacing="1" w:line="240" w:lineRule="auto"/>
        <w:contextualSpacing/>
        <w:rPr>
          <w:rFonts w:ascii="Arial" w:hAnsi="Arial" w:cs="Arial"/>
        </w:rPr>
      </w:pPr>
    </w:p>
    <w:p w14:paraId="421DEEBE" w14:textId="04B8CCC6" w:rsidR="006F3CD0" w:rsidRDefault="00CE105E" w:rsidP="00362B66">
      <w:pPr>
        <w:spacing w:before="100" w:beforeAutospacing="1" w:after="100" w:afterAutospacing="1" w:line="240" w:lineRule="auto"/>
        <w:contextualSpacing/>
        <w:jc w:val="both"/>
        <w:rPr>
          <w:rFonts w:ascii="Arial" w:hAnsi="Arial" w:cs="Arial"/>
        </w:rPr>
      </w:pPr>
      <w:r w:rsidRPr="00CE105E">
        <w:rPr>
          <w:rFonts w:ascii="Arial" w:hAnsi="Arial" w:cs="Arial"/>
        </w:rPr>
        <w:t xml:space="preserve">Durante el desarrollo de la auditoría, se evidenció que la Unidad </w:t>
      </w:r>
      <w:r w:rsidRPr="00CE105E">
        <w:rPr>
          <w:rFonts w:ascii="Arial" w:hAnsi="Arial" w:cs="Arial"/>
          <w:szCs w:val="24"/>
        </w:rPr>
        <w:t>de Control y Seguimiento del Endeudamiento Público</w:t>
      </w:r>
      <w:r w:rsidRPr="00CE105E">
        <w:rPr>
          <w:rFonts w:ascii="Arial" w:hAnsi="Arial" w:cs="Arial"/>
        </w:rPr>
        <w:t xml:space="preserve"> cuenta con controles para el cumplimiento de sus funciones, </w:t>
      </w:r>
      <w:r>
        <w:rPr>
          <w:rFonts w:ascii="Arial" w:hAnsi="Arial" w:cs="Arial"/>
        </w:rPr>
        <w:t>como los documentos</w:t>
      </w:r>
      <w:r w:rsidRPr="00CE105E">
        <w:rPr>
          <w:rFonts w:ascii="Arial" w:hAnsi="Arial" w:cs="Arial"/>
        </w:rPr>
        <w:t xml:space="preserve"> </w:t>
      </w:r>
      <w:r w:rsidRPr="00CE105E">
        <w:rPr>
          <w:rFonts w:ascii="Arial" w:hAnsi="Arial" w:cs="Arial"/>
          <w:i/>
        </w:rPr>
        <w:t>“Metodología para el Seguimiento de Programas / Proyectos de Inversión Pública financiados con Endeudamiento Público”</w:t>
      </w:r>
      <w:r w:rsidRPr="00482579">
        <w:rPr>
          <w:rFonts w:ascii="Arial" w:hAnsi="Arial" w:cs="Arial"/>
        </w:rPr>
        <w:t>, el “</w:t>
      </w:r>
      <w:r w:rsidRPr="00CE105E">
        <w:rPr>
          <w:rFonts w:ascii="Arial" w:hAnsi="Arial" w:cs="Arial"/>
          <w:i/>
        </w:rPr>
        <w:t>Procedimiento Interno de Seguimiento de los Créditos Externos en período de ejecución del Gobierno Central y resto del Sector Público</w:t>
      </w:r>
      <w:r w:rsidRPr="00482579">
        <w:rPr>
          <w:rFonts w:ascii="Arial" w:hAnsi="Arial" w:cs="Arial"/>
        </w:rPr>
        <w:t xml:space="preserve">”, </w:t>
      </w:r>
      <w:r>
        <w:rPr>
          <w:rFonts w:ascii="Arial" w:hAnsi="Arial" w:cs="Arial"/>
        </w:rPr>
        <w:t xml:space="preserve">y </w:t>
      </w:r>
      <w:r w:rsidRPr="00482579">
        <w:rPr>
          <w:rFonts w:ascii="Arial" w:hAnsi="Arial" w:cs="Arial"/>
        </w:rPr>
        <w:t>la “</w:t>
      </w:r>
      <w:r w:rsidRPr="00CE105E">
        <w:rPr>
          <w:rFonts w:ascii="Arial" w:hAnsi="Arial" w:cs="Arial"/>
          <w:i/>
        </w:rPr>
        <w:t>Metodología para la clasificación del desempeño de los programas/proyectos financiados con endeudamiento externo”</w:t>
      </w:r>
      <w:r>
        <w:rPr>
          <w:rFonts w:ascii="Arial" w:hAnsi="Arial" w:cs="Arial"/>
        </w:rPr>
        <w:t xml:space="preserve">.  No obstante, </w:t>
      </w:r>
      <w:r w:rsidR="007A3F0C">
        <w:rPr>
          <w:rFonts w:ascii="Arial" w:hAnsi="Arial" w:cs="Arial"/>
        </w:rPr>
        <w:t xml:space="preserve">se </w:t>
      </w:r>
      <w:r>
        <w:rPr>
          <w:rFonts w:ascii="Arial" w:hAnsi="Arial" w:cs="Arial"/>
        </w:rPr>
        <w:t xml:space="preserve">debe </w:t>
      </w:r>
      <w:r w:rsidR="00921B6A" w:rsidRPr="00921B6A">
        <w:rPr>
          <w:rFonts w:ascii="Arial" w:hAnsi="Arial" w:cs="Arial"/>
        </w:rPr>
        <w:t xml:space="preserve">optimizar </w:t>
      </w:r>
      <w:r w:rsidR="006F3CD0" w:rsidRPr="006F3CD0">
        <w:rPr>
          <w:rFonts w:ascii="Arial" w:hAnsi="Arial" w:cs="Arial"/>
        </w:rPr>
        <w:t>la confiabilidad de la información relacionada con la determinación de pesos relativos concernientes al avance físico reportado por las Unidades Ejecutoras</w:t>
      </w:r>
      <w:r w:rsidR="006F3CD0">
        <w:rPr>
          <w:rFonts w:ascii="Arial" w:hAnsi="Arial" w:cs="Arial"/>
        </w:rPr>
        <w:t xml:space="preserve">, así como </w:t>
      </w:r>
      <w:r w:rsidR="009E1061">
        <w:rPr>
          <w:rFonts w:ascii="Arial" w:hAnsi="Arial" w:cs="Arial"/>
        </w:rPr>
        <w:t xml:space="preserve">valorar la realización de las </w:t>
      </w:r>
      <w:r w:rsidR="006F3CD0" w:rsidRPr="006F3CD0">
        <w:rPr>
          <w:rFonts w:ascii="Arial" w:hAnsi="Arial" w:cs="Arial"/>
        </w:rPr>
        <w:t xml:space="preserve">actividades de control que respaldan la ejecución del proceso </w:t>
      </w:r>
      <w:r w:rsidR="006F3CD0" w:rsidRPr="006F3CD0">
        <w:rPr>
          <w:rFonts w:ascii="Arial" w:hAnsi="Arial" w:cs="Arial"/>
        </w:rPr>
        <w:lastRenderedPageBreak/>
        <w:t>de co</w:t>
      </w:r>
      <w:r w:rsidR="009E1061">
        <w:rPr>
          <w:rFonts w:ascii="Arial" w:hAnsi="Arial" w:cs="Arial"/>
        </w:rPr>
        <w:t>nciliar</w:t>
      </w:r>
      <w:r w:rsidR="006F3CD0" w:rsidRPr="006F3CD0">
        <w:rPr>
          <w:rFonts w:ascii="Arial" w:hAnsi="Arial" w:cs="Arial"/>
        </w:rPr>
        <w:t xml:space="preserve"> la información revisada contra la remitida por la Unidad Ejecutora</w:t>
      </w:r>
      <w:r w:rsidR="007A3F0C">
        <w:rPr>
          <w:rFonts w:ascii="Arial" w:hAnsi="Arial" w:cs="Arial"/>
        </w:rPr>
        <w:t>; así como</w:t>
      </w:r>
      <w:r w:rsidR="006F3CD0">
        <w:rPr>
          <w:rFonts w:ascii="Arial" w:hAnsi="Arial" w:cs="Arial"/>
        </w:rPr>
        <w:t xml:space="preserve"> </w:t>
      </w:r>
      <w:r w:rsidR="00EA15C0">
        <w:rPr>
          <w:rFonts w:ascii="Arial" w:hAnsi="Arial" w:cs="Arial"/>
        </w:rPr>
        <w:t>el</w:t>
      </w:r>
      <w:r w:rsidR="006F3CD0">
        <w:rPr>
          <w:rFonts w:ascii="Arial" w:hAnsi="Arial" w:cs="Arial"/>
        </w:rPr>
        <w:t xml:space="preserve"> seguimiento </w:t>
      </w:r>
      <w:r w:rsidR="00EA15C0">
        <w:rPr>
          <w:rFonts w:ascii="Arial" w:hAnsi="Arial" w:cs="Arial"/>
        </w:rPr>
        <w:t xml:space="preserve">de </w:t>
      </w:r>
      <w:r w:rsidR="006F3CD0" w:rsidRPr="006F3CD0">
        <w:rPr>
          <w:rFonts w:ascii="Arial" w:hAnsi="Arial" w:cs="Arial"/>
        </w:rPr>
        <w:t>la implantación</w:t>
      </w:r>
      <w:r w:rsidR="00EA15C0">
        <w:rPr>
          <w:rFonts w:ascii="Arial" w:hAnsi="Arial" w:cs="Arial"/>
        </w:rPr>
        <w:t xml:space="preserve"> </w:t>
      </w:r>
      <w:r w:rsidR="006F3CD0" w:rsidRPr="006F3CD0">
        <w:rPr>
          <w:rFonts w:ascii="Arial" w:hAnsi="Arial" w:cs="Arial"/>
        </w:rPr>
        <w:t>de las recomendaciones emitidas en los informes de seguimiento semestral.</w:t>
      </w:r>
    </w:p>
    <w:p w14:paraId="5AD13CCA" w14:textId="4FE51B49" w:rsidR="00C34647" w:rsidRDefault="00C34647" w:rsidP="00362B66">
      <w:pPr>
        <w:spacing w:before="100" w:beforeAutospacing="1" w:after="100" w:afterAutospacing="1" w:line="240" w:lineRule="auto"/>
        <w:contextualSpacing/>
        <w:jc w:val="both"/>
        <w:rPr>
          <w:rFonts w:ascii="Arial" w:hAnsi="Arial" w:cs="Arial"/>
        </w:rPr>
      </w:pPr>
    </w:p>
    <w:p w14:paraId="3D103AD4" w14:textId="77777777" w:rsidR="00801429" w:rsidRPr="00D90A94" w:rsidRDefault="00801429" w:rsidP="00362B66">
      <w:pPr>
        <w:spacing w:before="100" w:beforeAutospacing="1" w:after="100" w:afterAutospacing="1" w:line="240" w:lineRule="auto"/>
        <w:contextualSpacing/>
        <w:rPr>
          <w:rFonts w:ascii="Arial" w:eastAsiaTheme="minorEastAsia" w:hAnsi="Arial" w:cs="Arial"/>
          <w:b/>
          <w:color w:val="44546A" w:themeColor="text2"/>
          <w:sz w:val="24"/>
          <w:lang w:val="es-ES_tradnl" w:eastAsia="es-ES"/>
        </w:rPr>
      </w:pPr>
      <w:r w:rsidRPr="00D90A94">
        <w:rPr>
          <w:rFonts w:ascii="Arial" w:eastAsiaTheme="minorEastAsia" w:hAnsi="Arial" w:cs="Arial"/>
          <w:b/>
          <w:color w:val="44546A" w:themeColor="text2"/>
          <w:sz w:val="24"/>
          <w:lang w:val="es-ES_tradnl" w:eastAsia="es-ES"/>
        </w:rPr>
        <w:t>¿QUÉ SIGUE?</w:t>
      </w:r>
    </w:p>
    <w:p w14:paraId="32ADB7C0" w14:textId="77777777" w:rsidR="00801429" w:rsidRPr="00D90A94" w:rsidRDefault="00801429" w:rsidP="00362B66">
      <w:pPr>
        <w:spacing w:before="100" w:beforeAutospacing="1" w:after="100" w:afterAutospacing="1" w:line="240" w:lineRule="auto"/>
        <w:contextualSpacing/>
        <w:rPr>
          <w:rFonts w:ascii="Arial" w:hAnsi="Arial" w:cs="Arial"/>
        </w:rPr>
      </w:pPr>
    </w:p>
    <w:p w14:paraId="4D6F0755" w14:textId="77777777" w:rsidR="00AC3464" w:rsidRPr="00D90A94" w:rsidRDefault="00921B6A" w:rsidP="00362B66">
      <w:pPr>
        <w:spacing w:before="100" w:beforeAutospacing="1" w:after="100" w:afterAutospacing="1" w:line="240" w:lineRule="auto"/>
        <w:jc w:val="both"/>
        <w:rPr>
          <w:rFonts w:ascii="Arial" w:hAnsi="Arial" w:cs="Arial"/>
        </w:rPr>
      </w:pPr>
      <w:r w:rsidRPr="00921B6A">
        <w:rPr>
          <w:rFonts w:ascii="Arial" w:hAnsi="Arial" w:cs="Arial"/>
        </w:rPr>
        <w:t>Se giran recomendaciones a la Dirección de Crédito Público para la implementación de medidas de mejora en torno a las actividades para asegurar la evaluación del proceso de seguimiento del endeudamiento público externo, donde el Gobierno figure como deudor o garante de las Unidades Ejecutoras de los proyectos en ejecución y a las Unidades Ejecutoras de los proyectos/créditos en ejecución</w:t>
      </w:r>
      <w:r w:rsidR="003F7388">
        <w:rPr>
          <w:rFonts w:ascii="Arial" w:hAnsi="Arial" w:cs="Arial"/>
        </w:rPr>
        <w:t>.</w:t>
      </w:r>
    </w:p>
    <w:p w14:paraId="377925C4" w14:textId="77777777" w:rsidR="0025607B" w:rsidRDefault="0025607B">
      <w:pPr>
        <w:rPr>
          <w:rFonts w:ascii="Arial" w:hAnsi="Arial" w:cs="Arial"/>
          <w:sz w:val="24"/>
          <w:szCs w:val="24"/>
        </w:rPr>
      </w:pPr>
      <w:r>
        <w:rPr>
          <w:rFonts w:ascii="Arial" w:hAnsi="Arial" w:cs="Arial"/>
          <w:sz w:val="24"/>
          <w:szCs w:val="24"/>
        </w:rPr>
        <w:br w:type="page"/>
      </w:r>
    </w:p>
    <w:p w14:paraId="3DAA9A88" w14:textId="10F00100" w:rsidR="00AC3464" w:rsidRDefault="00AC3464" w:rsidP="00AC3464">
      <w:pPr>
        <w:spacing w:after="0" w:line="276" w:lineRule="auto"/>
        <w:contextualSpacing/>
        <w:jc w:val="both"/>
        <w:rPr>
          <w:rFonts w:ascii="Arial" w:hAnsi="Arial" w:cs="Arial"/>
          <w:b/>
          <w:sz w:val="24"/>
          <w:szCs w:val="24"/>
        </w:rPr>
      </w:pPr>
    </w:p>
    <w:p w14:paraId="626321EF" w14:textId="77777777" w:rsidR="00553E9A" w:rsidRPr="00A002D5" w:rsidRDefault="00553E9A" w:rsidP="00AC3464">
      <w:pPr>
        <w:spacing w:after="0" w:line="276" w:lineRule="auto"/>
        <w:contextualSpacing/>
        <w:jc w:val="both"/>
        <w:rPr>
          <w:rFonts w:ascii="Arial" w:hAnsi="Arial" w:cs="Arial"/>
          <w:b/>
          <w:sz w:val="24"/>
          <w:szCs w:val="24"/>
        </w:rPr>
      </w:pPr>
    </w:p>
    <w:p w14:paraId="54F73470" w14:textId="77777777" w:rsidR="00801429" w:rsidRPr="00E52F90" w:rsidRDefault="00801429" w:rsidP="008711A9">
      <w:pPr>
        <w:pStyle w:val="Ttulo1"/>
        <w:keepNext w:val="0"/>
        <w:keepLines w:val="0"/>
        <w:numPr>
          <w:ilvl w:val="0"/>
          <w:numId w:val="21"/>
        </w:numPr>
        <w:spacing w:before="0" w:after="0"/>
        <w:ind w:left="470" w:hanging="470"/>
        <w:contextualSpacing/>
        <w:rPr>
          <w:rFonts w:ascii="Arial" w:hAnsi="Arial" w:cs="Arial"/>
          <w:b/>
          <w:bCs/>
          <w:color w:val="44546A" w:themeColor="text2"/>
          <w:kern w:val="28"/>
          <w:sz w:val="28"/>
          <w:szCs w:val="28"/>
          <w:lang w:eastAsia="es-ES"/>
        </w:rPr>
      </w:pPr>
      <w:bookmarkStart w:id="6" w:name="_Toc390783322"/>
      <w:bookmarkStart w:id="7" w:name="_Toc131075260"/>
      <w:r w:rsidRPr="00E52F90">
        <w:rPr>
          <w:rFonts w:ascii="Arial" w:hAnsi="Arial" w:cs="Arial"/>
          <w:b/>
          <w:bCs/>
          <w:color w:val="44546A" w:themeColor="text2"/>
          <w:kern w:val="28"/>
          <w:sz w:val="28"/>
          <w:szCs w:val="28"/>
          <w:lang w:eastAsia="es-ES"/>
        </w:rPr>
        <w:t>INTRODUCCIÓN</w:t>
      </w:r>
      <w:bookmarkStart w:id="8" w:name="_Toc390783323"/>
      <w:bookmarkStart w:id="9" w:name="_Toc363725342"/>
      <w:bookmarkStart w:id="10" w:name="_Toc362603796"/>
      <w:bookmarkStart w:id="11" w:name="_Toc289069746"/>
      <w:bookmarkStart w:id="12" w:name="_Toc263196289"/>
      <w:bookmarkStart w:id="13" w:name="_Toc197941708"/>
      <w:bookmarkStart w:id="14" w:name="_Toc156811332"/>
      <w:bookmarkStart w:id="15" w:name="_Toc141671991"/>
      <w:bookmarkStart w:id="16" w:name="_Toc140566595"/>
      <w:bookmarkStart w:id="17" w:name="_Toc118276500"/>
      <w:bookmarkStart w:id="18" w:name="_Toc197941709"/>
      <w:bookmarkStart w:id="19" w:name="_Toc156811333"/>
      <w:bookmarkStart w:id="20" w:name="_Toc141671992"/>
      <w:bookmarkStart w:id="21" w:name="_Toc140566596"/>
      <w:bookmarkStart w:id="22" w:name="_Toc118276501"/>
      <w:bookmarkStart w:id="23" w:name="_Toc263196290"/>
      <w:bookmarkStart w:id="24" w:name="_Toc107808089"/>
      <w:bookmarkStart w:id="25" w:name="_Toc106783168"/>
      <w:bookmarkStart w:id="26" w:name="_Toc106783017"/>
      <w:bookmarkStart w:id="27" w:name="_Toc363725343"/>
      <w:bookmarkStart w:id="28" w:name="_Toc362603797"/>
      <w:bookmarkStart w:id="29" w:name="_Toc289069747"/>
      <w:bookmarkStart w:id="30" w:name="_Toc363725344"/>
      <w:bookmarkStart w:id="31" w:name="_Toc362603798"/>
      <w:bookmarkStart w:id="32" w:name="_Toc289069748"/>
      <w:bookmarkStart w:id="33" w:name="_Toc263196291"/>
      <w:bookmarkStart w:id="34" w:name="_Toc197941710"/>
      <w:bookmarkStart w:id="35" w:name="_Toc156811334"/>
      <w:bookmarkStart w:id="36" w:name="_Toc141671993"/>
      <w:bookmarkStart w:id="37" w:name="_Toc140566597"/>
      <w:bookmarkStart w:id="38" w:name="_Toc118276503"/>
      <w:bookmarkStart w:id="39" w:name="_Toc107808090"/>
      <w:bookmarkStart w:id="40" w:name="_Toc106783169"/>
      <w:bookmarkStart w:id="41" w:name="_Toc106783018"/>
      <w:bookmarkStart w:id="42" w:name="_Toc106698027"/>
      <w:bookmarkStart w:id="43" w:name="_Toc106697946"/>
      <w:bookmarkStart w:id="44" w:name="_Toc363725345"/>
      <w:bookmarkStart w:id="45" w:name="_Toc362603799"/>
      <w:bookmarkStart w:id="46" w:name="_Toc289069749"/>
      <w:bookmarkStart w:id="47" w:name="_Toc363725346"/>
      <w:bookmarkStart w:id="48" w:name="_Toc362603800"/>
      <w:bookmarkStart w:id="49" w:name="_Toc289069750"/>
      <w:bookmarkStart w:id="50" w:name="_Toc362603801"/>
      <w:bookmarkStart w:id="51" w:name="_Toc363725347"/>
      <w:bookmarkStart w:id="52" w:name="_Toc362603802"/>
      <w:bookmarkStart w:id="53" w:name="_Toc363725348"/>
      <w:bookmarkEnd w:id="6"/>
      <w:bookmarkEnd w:id="7"/>
    </w:p>
    <w:p w14:paraId="6E82AECE" w14:textId="77777777" w:rsidR="00553E9A" w:rsidRDefault="00553E9A" w:rsidP="008711A9">
      <w:pPr>
        <w:spacing w:after="0" w:line="240" w:lineRule="auto"/>
        <w:rPr>
          <w:rFonts w:ascii="Arial" w:hAnsi="Arial" w:cs="Arial"/>
          <w:sz w:val="24"/>
          <w:szCs w:val="24"/>
        </w:rPr>
      </w:pPr>
    </w:p>
    <w:p w14:paraId="5FB74BD7" w14:textId="77777777" w:rsidR="00801429" w:rsidRPr="00E52F90" w:rsidRDefault="00801429" w:rsidP="00FA160F">
      <w:pPr>
        <w:pStyle w:val="Ttulo2"/>
        <w:keepNext w:val="0"/>
        <w:keepLines w:val="0"/>
        <w:numPr>
          <w:ilvl w:val="1"/>
          <w:numId w:val="21"/>
        </w:numPr>
        <w:spacing w:before="0"/>
        <w:ind w:left="426" w:right="51"/>
        <w:contextualSpacing/>
        <w:jc w:val="both"/>
        <w:rPr>
          <w:rFonts w:ascii="Arial" w:eastAsiaTheme="minorHAnsi" w:hAnsi="Arial" w:cs="Arial"/>
          <w:b/>
          <w:color w:val="44546A" w:themeColor="text2"/>
          <w:sz w:val="24"/>
          <w:szCs w:val="24"/>
          <w:lang w:val="es-ES_tradnl" w:eastAsia="es-ES"/>
        </w:rPr>
      </w:pPr>
      <w:bookmarkStart w:id="54" w:name="_Toc131075261"/>
      <w:r w:rsidRPr="00E52F90">
        <w:rPr>
          <w:rFonts w:ascii="Arial" w:eastAsiaTheme="minorHAnsi" w:hAnsi="Arial" w:cs="Arial"/>
          <w:b/>
          <w:color w:val="44546A" w:themeColor="text2"/>
          <w:sz w:val="24"/>
          <w:szCs w:val="24"/>
          <w:lang w:val="es-ES_tradnl" w:eastAsia="es-ES"/>
        </w:rPr>
        <w:t>Origen</w:t>
      </w:r>
      <w:bookmarkEnd w:id="8"/>
      <w:bookmarkEnd w:id="9"/>
      <w:bookmarkEnd w:id="10"/>
      <w:bookmarkEnd w:id="11"/>
      <w:bookmarkEnd w:id="12"/>
      <w:bookmarkEnd w:id="13"/>
      <w:bookmarkEnd w:id="14"/>
      <w:bookmarkEnd w:id="15"/>
      <w:bookmarkEnd w:id="16"/>
      <w:bookmarkEnd w:id="17"/>
      <w:bookmarkEnd w:id="54"/>
    </w:p>
    <w:p w14:paraId="15E5694D" w14:textId="77777777" w:rsidR="00801429" w:rsidRDefault="00801429" w:rsidP="008711A9">
      <w:pPr>
        <w:spacing w:after="0" w:line="240" w:lineRule="auto"/>
        <w:contextualSpacing/>
        <w:jc w:val="both"/>
        <w:rPr>
          <w:rFonts w:ascii="Arial" w:hAnsi="Arial" w:cs="Arial"/>
          <w:sz w:val="24"/>
          <w:szCs w:val="24"/>
        </w:rPr>
      </w:pPr>
    </w:p>
    <w:p w14:paraId="1D055B8F" w14:textId="77777777" w:rsidR="00801429" w:rsidRPr="00D90A94" w:rsidRDefault="00801429" w:rsidP="008711A9">
      <w:pPr>
        <w:spacing w:after="0" w:line="240" w:lineRule="auto"/>
        <w:contextualSpacing/>
        <w:jc w:val="both"/>
        <w:rPr>
          <w:rFonts w:ascii="Arial" w:hAnsi="Arial" w:cs="Arial"/>
        </w:rPr>
      </w:pPr>
      <w:r w:rsidRPr="00D90A94">
        <w:rPr>
          <w:rFonts w:ascii="Arial" w:hAnsi="Arial" w:cs="Arial"/>
        </w:rPr>
        <w:t xml:space="preserve">El presente estudio se realizó de conformidad con el Plan de Trabajo Anual </w:t>
      </w:r>
      <w:r w:rsidR="0025607B" w:rsidRPr="00D90A94">
        <w:rPr>
          <w:rFonts w:ascii="Arial" w:hAnsi="Arial" w:cs="Arial"/>
        </w:rPr>
        <w:t>2022</w:t>
      </w:r>
      <w:r w:rsidR="00921B6A">
        <w:rPr>
          <w:rFonts w:ascii="Arial" w:hAnsi="Arial" w:cs="Arial"/>
        </w:rPr>
        <w:t xml:space="preserve"> -2023</w:t>
      </w:r>
      <w:r w:rsidRPr="00D90A94">
        <w:rPr>
          <w:rFonts w:ascii="Arial" w:hAnsi="Arial" w:cs="Arial"/>
        </w:rPr>
        <w:t xml:space="preserve"> de la Auditoría Interna del Ministerio de Hacienda.</w:t>
      </w:r>
    </w:p>
    <w:p w14:paraId="71963358" w14:textId="77777777" w:rsidR="00801429" w:rsidRDefault="00801429" w:rsidP="008711A9">
      <w:pPr>
        <w:spacing w:after="0" w:line="240" w:lineRule="auto"/>
        <w:contextualSpacing/>
        <w:rPr>
          <w:rFonts w:ascii="Arial" w:hAnsi="Arial" w:cs="Arial"/>
          <w:sz w:val="24"/>
          <w:szCs w:val="24"/>
        </w:rPr>
      </w:pPr>
    </w:p>
    <w:p w14:paraId="2A3CB23A"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55" w:name="_Toc390783324"/>
      <w:bookmarkStart w:id="56" w:name="_Toc131075262"/>
      <w:r w:rsidRPr="00E52F90">
        <w:rPr>
          <w:rFonts w:ascii="Arial" w:eastAsiaTheme="minorHAnsi" w:hAnsi="Arial" w:cs="Arial"/>
          <w:b/>
          <w:color w:val="44546A" w:themeColor="text2"/>
          <w:sz w:val="24"/>
          <w:szCs w:val="24"/>
          <w:lang w:val="es-ES_tradnl" w:eastAsia="es-ES"/>
        </w:rPr>
        <w:t>Objetiv</w:t>
      </w:r>
      <w:bookmarkEnd w:id="18"/>
      <w:bookmarkEnd w:id="19"/>
      <w:bookmarkEnd w:id="20"/>
      <w:bookmarkEnd w:id="21"/>
      <w:bookmarkEnd w:id="22"/>
      <w:bookmarkEnd w:id="23"/>
      <w:bookmarkEnd w:id="24"/>
      <w:bookmarkEnd w:id="25"/>
      <w:bookmarkEnd w:id="26"/>
      <w:r w:rsidRPr="00E52F90">
        <w:rPr>
          <w:rFonts w:ascii="Arial" w:eastAsiaTheme="minorHAnsi" w:hAnsi="Arial" w:cs="Arial"/>
          <w:b/>
          <w:color w:val="44546A" w:themeColor="text2"/>
          <w:sz w:val="24"/>
          <w:szCs w:val="24"/>
          <w:lang w:val="es-ES_tradnl" w:eastAsia="es-ES"/>
        </w:rPr>
        <w:t>o del estudio</w:t>
      </w:r>
      <w:bookmarkEnd w:id="27"/>
      <w:bookmarkEnd w:id="28"/>
      <w:bookmarkEnd w:id="29"/>
      <w:bookmarkEnd w:id="55"/>
      <w:bookmarkEnd w:id="56"/>
    </w:p>
    <w:p w14:paraId="758E2D44" w14:textId="77777777" w:rsidR="00801429" w:rsidRDefault="00801429" w:rsidP="008711A9">
      <w:pPr>
        <w:spacing w:after="0" w:line="240" w:lineRule="auto"/>
        <w:contextualSpacing/>
        <w:jc w:val="both"/>
        <w:rPr>
          <w:rFonts w:ascii="Arial" w:hAnsi="Arial" w:cs="Arial"/>
          <w:sz w:val="24"/>
        </w:rPr>
      </w:pPr>
      <w:bookmarkStart w:id="57" w:name="_Toc390783325"/>
    </w:p>
    <w:p w14:paraId="6A6B6D81" w14:textId="2D054DA4" w:rsidR="00801429" w:rsidRPr="003528FE" w:rsidRDefault="00921B6A" w:rsidP="008711A9">
      <w:pPr>
        <w:spacing w:after="0" w:line="240" w:lineRule="auto"/>
        <w:contextualSpacing/>
        <w:jc w:val="both"/>
        <w:rPr>
          <w:rFonts w:ascii="Arial" w:hAnsi="Arial" w:cs="Arial"/>
          <w:szCs w:val="24"/>
        </w:rPr>
      </w:pPr>
      <w:r w:rsidRPr="00921B6A">
        <w:rPr>
          <w:rFonts w:ascii="Arial" w:hAnsi="Arial" w:cs="Arial"/>
          <w:szCs w:val="24"/>
        </w:rPr>
        <w:t>Verificar si la Dirección Crédito Público dispone de las medidas de control que brinde</w:t>
      </w:r>
      <w:r w:rsidR="00FF34CD">
        <w:rPr>
          <w:rFonts w:ascii="Arial" w:hAnsi="Arial" w:cs="Arial"/>
          <w:szCs w:val="24"/>
        </w:rPr>
        <w:t>n</w:t>
      </w:r>
      <w:r w:rsidRPr="00921B6A">
        <w:rPr>
          <w:rFonts w:ascii="Arial" w:hAnsi="Arial" w:cs="Arial"/>
          <w:szCs w:val="24"/>
        </w:rPr>
        <w:t xml:space="preserve"> una seguridad razonable que los programas y proyectos de inversión financiados con créditos externos, cumplan con los objetivos, la normativa, la salvaguarda de los recursos y la confiabilidad de la información</w:t>
      </w:r>
      <w:r w:rsidR="00220706">
        <w:rPr>
          <w:rFonts w:ascii="Arial" w:hAnsi="Arial" w:cs="Arial"/>
          <w:szCs w:val="24"/>
        </w:rPr>
        <w:t>.</w:t>
      </w:r>
    </w:p>
    <w:p w14:paraId="3654EBF8" w14:textId="77777777" w:rsidR="00801429" w:rsidRPr="0025607B" w:rsidRDefault="00801429" w:rsidP="008711A9">
      <w:pPr>
        <w:spacing w:after="0" w:line="240" w:lineRule="auto"/>
        <w:contextualSpacing/>
        <w:jc w:val="both"/>
        <w:rPr>
          <w:rFonts w:ascii="Arial" w:hAnsi="Arial" w:cs="Arial"/>
          <w:sz w:val="24"/>
          <w:szCs w:val="24"/>
        </w:rPr>
      </w:pPr>
    </w:p>
    <w:p w14:paraId="72ED5777"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58" w:name="_Toc131075263"/>
      <w:r w:rsidRPr="00E52F90">
        <w:rPr>
          <w:rFonts w:ascii="Arial" w:eastAsiaTheme="minorHAnsi" w:hAnsi="Arial" w:cs="Arial"/>
          <w:b/>
          <w:color w:val="44546A" w:themeColor="text2"/>
          <w:sz w:val="24"/>
          <w:szCs w:val="24"/>
          <w:lang w:val="es-ES_tradnl" w:eastAsia="es-ES"/>
        </w:rPr>
        <w:t>Alcance</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7"/>
      <w:bookmarkEnd w:id="58"/>
    </w:p>
    <w:p w14:paraId="16417049" w14:textId="77777777" w:rsidR="00801429" w:rsidRDefault="00801429" w:rsidP="008711A9">
      <w:pPr>
        <w:spacing w:after="0" w:line="240" w:lineRule="auto"/>
        <w:contextualSpacing/>
        <w:jc w:val="both"/>
        <w:rPr>
          <w:rFonts w:ascii="Arial" w:hAnsi="Arial" w:cs="Arial"/>
          <w:sz w:val="24"/>
          <w:szCs w:val="24"/>
        </w:rPr>
      </w:pPr>
      <w:bookmarkStart w:id="59" w:name="_Toc390783326"/>
    </w:p>
    <w:p w14:paraId="677D6454" w14:textId="631461D8" w:rsidR="003F7388" w:rsidRPr="003F7388" w:rsidRDefault="003F7388" w:rsidP="003F7388">
      <w:pPr>
        <w:autoSpaceDE w:val="0"/>
        <w:autoSpaceDN w:val="0"/>
        <w:adjustRightInd w:val="0"/>
        <w:spacing w:after="0" w:line="240" w:lineRule="auto"/>
        <w:jc w:val="both"/>
        <w:rPr>
          <w:rFonts w:ascii="Arial" w:hAnsi="Arial" w:cs="Arial"/>
          <w:color w:val="000000"/>
          <w:sz w:val="23"/>
          <w:szCs w:val="23"/>
        </w:rPr>
      </w:pPr>
      <w:r w:rsidRPr="003F7388">
        <w:rPr>
          <w:rFonts w:ascii="Arial" w:hAnsi="Arial" w:cs="Arial"/>
          <w:color w:val="000000"/>
          <w:sz w:val="23"/>
          <w:szCs w:val="23"/>
        </w:rPr>
        <w:t>El estudio comprende la revisión de las actividades de control relacionad</w:t>
      </w:r>
      <w:r>
        <w:rPr>
          <w:rFonts w:ascii="Arial" w:hAnsi="Arial" w:cs="Arial"/>
          <w:color w:val="000000"/>
          <w:sz w:val="23"/>
          <w:szCs w:val="23"/>
        </w:rPr>
        <w:t>as</w:t>
      </w:r>
      <w:r w:rsidRPr="003F7388">
        <w:rPr>
          <w:rFonts w:ascii="Arial" w:hAnsi="Arial" w:cs="Arial"/>
          <w:color w:val="000000"/>
          <w:sz w:val="23"/>
          <w:szCs w:val="23"/>
        </w:rPr>
        <w:t xml:space="preserve"> con el proceso de seguimiento del endeudamiento público externo, realizado por la Unidad de Control y Seguimiento del Endeudamiento, en relación con la calidad de la información que recibe la D</w:t>
      </w:r>
      <w:r w:rsidR="00367C4B">
        <w:rPr>
          <w:rFonts w:ascii="Arial" w:hAnsi="Arial" w:cs="Arial"/>
          <w:color w:val="000000"/>
          <w:sz w:val="23"/>
          <w:szCs w:val="23"/>
        </w:rPr>
        <w:t>irección de Crédito Público,</w:t>
      </w:r>
      <w:r w:rsidRPr="003F7388">
        <w:rPr>
          <w:rFonts w:ascii="Arial" w:hAnsi="Arial" w:cs="Arial"/>
          <w:color w:val="000000"/>
          <w:sz w:val="23"/>
          <w:szCs w:val="23"/>
        </w:rPr>
        <w:t xml:space="preserve"> y sobre el cumplimiento de la normativa técnica y legal por parte de las Unidades Ejecutoras, sobre la elaboración de los informes de seguimiento conforme a las metodologías existentes. </w:t>
      </w:r>
    </w:p>
    <w:p w14:paraId="507ED31D" w14:textId="77777777" w:rsidR="00970E7B" w:rsidRDefault="00970E7B" w:rsidP="00C740BD">
      <w:pPr>
        <w:spacing w:after="0" w:line="240" w:lineRule="auto"/>
        <w:contextualSpacing/>
        <w:jc w:val="both"/>
        <w:rPr>
          <w:rFonts w:ascii="Arial" w:hAnsi="Arial" w:cs="Arial"/>
          <w:szCs w:val="24"/>
        </w:rPr>
      </w:pPr>
      <w:bookmarkStart w:id="60" w:name="_Hlk128035677"/>
    </w:p>
    <w:p w14:paraId="2C75EF41" w14:textId="77777777" w:rsidR="00921B6A" w:rsidRPr="00C740BD" w:rsidRDefault="00921B6A" w:rsidP="00C740BD">
      <w:pPr>
        <w:spacing w:after="0" w:line="240" w:lineRule="auto"/>
        <w:contextualSpacing/>
        <w:jc w:val="both"/>
        <w:rPr>
          <w:rFonts w:ascii="Arial" w:hAnsi="Arial" w:cs="Arial"/>
          <w:szCs w:val="24"/>
        </w:rPr>
      </w:pPr>
      <w:r w:rsidRPr="00C740BD">
        <w:rPr>
          <w:rFonts w:ascii="Arial" w:hAnsi="Arial" w:cs="Arial"/>
          <w:szCs w:val="24"/>
        </w:rPr>
        <w:t xml:space="preserve">El periodo de </w:t>
      </w:r>
      <w:r w:rsidR="00081ABD">
        <w:rPr>
          <w:rFonts w:ascii="Arial" w:hAnsi="Arial" w:cs="Arial"/>
          <w:szCs w:val="24"/>
        </w:rPr>
        <w:t xml:space="preserve">la </w:t>
      </w:r>
      <w:r w:rsidRPr="00C740BD">
        <w:rPr>
          <w:rFonts w:ascii="Arial" w:hAnsi="Arial" w:cs="Arial"/>
          <w:szCs w:val="24"/>
        </w:rPr>
        <w:t>evaluación correspondió del 01 de enero del 2022 al 30 de noviembre de 2022, ampliándose cuando se consideró necesario.</w:t>
      </w:r>
    </w:p>
    <w:bookmarkEnd w:id="60"/>
    <w:p w14:paraId="436863C9" w14:textId="77777777" w:rsidR="0025607B" w:rsidRDefault="0025607B" w:rsidP="008711A9">
      <w:pPr>
        <w:spacing w:after="0" w:line="240" w:lineRule="auto"/>
        <w:contextualSpacing/>
        <w:jc w:val="both"/>
        <w:rPr>
          <w:rFonts w:ascii="Arial" w:hAnsi="Arial" w:cs="Arial"/>
          <w:sz w:val="24"/>
          <w:szCs w:val="24"/>
        </w:rPr>
      </w:pPr>
    </w:p>
    <w:p w14:paraId="16C8E153"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61" w:name="_Toc131075264"/>
      <w:r w:rsidRPr="00E52F90">
        <w:rPr>
          <w:rFonts w:ascii="Arial" w:eastAsiaTheme="minorHAnsi" w:hAnsi="Arial" w:cs="Arial"/>
          <w:b/>
          <w:color w:val="44546A" w:themeColor="text2"/>
          <w:sz w:val="24"/>
          <w:szCs w:val="24"/>
          <w:lang w:val="es-ES_tradnl" w:eastAsia="es-ES"/>
        </w:rPr>
        <w:t>Criterios de evaluación</w:t>
      </w:r>
      <w:bookmarkEnd w:id="61"/>
    </w:p>
    <w:p w14:paraId="3378F5AF" w14:textId="77777777" w:rsidR="00801429" w:rsidRDefault="00801429" w:rsidP="008711A9">
      <w:pPr>
        <w:autoSpaceDE w:val="0"/>
        <w:autoSpaceDN w:val="0"/>
        <w:adjustRightInd w:val="0"/>
        <w:spacing w:after="0" w:line="240" w:lineRule="auto"/>
        <w:contextualSpacing/>
        <w:jc w:val="both"/>
        <w:rPr>
          <w:rFonts w:ascii="Arial" w:eastAsia="Times New Roman" w:hAnsi="Arial" w:cs="Arial"/>
          <w:color w:val="000000"/>
          <w:sz w:val="24"/>
          <w:szCs w:val="24"/>
        </w:rPr>
      </w:pPr>
    </w:p>
    <w:p w14:paraId="42760DD2" w14:textId="77777777" w:rsidR="00801429" w:rsidRPr="00C740BD" w:rsidRDefault="00801429" w:rsidP="00C740BD">
      <w:pPr>
        <w:spacing w:after="0" w:line="240" w:lineRule="auto"/>
        <w:contextualSpacing/>
        <w:jc w:val="both"/>
        <w:rPr>
          <w:rFonts w:ascii="Arial" w:hAnsi="Arial" w:cs="Arial"/>
          <w:szCs w:val="24"/>
        </w:rPr>
      </w:pPr>
      <w:r w:rsidRPr="00C740BD">
        <w:rPr>
          <w:rFonts w:ascii="Arial" w:hAnsi="Arial" w:cs="Arial"/>
          <w:szCs w:val="24"/>
        </w:rPr>
        <w:t xml:space="preserve">Los criterios de evaluación fueron comunicados el </w:t>
      </w:r>
      <w:r w:rsidR="00921B6A" w:rsidRPr="00C740BD">
        <w:rPr>
          <w:rFonts w:ascii="Arial" w:hAnsi="Arial" w:cs="Arial"/>
          <w:szCs w:val="24"/>
        </w:rPr>
        <w:t>19</w:t>
      </w:r>
      <w:r w:rsidR="00430680" w:rsidRPr="00C740BD">
        <w:rPr>
          <w:rFonts w:ascii="Arial" w:hAnsi="Arial" w:cs="Arial"/>
          <w:szCs w:val="24"/>
        </w:rPr>
        <w:t xml:space="preserve"> de </w:t>
      </w:r>
      <w:r w:rsidR="00620C6F" w:rsidRPr="00C740BD">
        <w:rPr>
          <w:rFonts w:ascii="Arial" w:hAnsi="Arial" w:cs="Arial"/>
          <w:szCs w:val="24"/>
        </w:rPr>
        <w:t>diciembre</w:t>
      </w:r>
      <w:r w:rsidR="00430680" w:rsidRPr="00C740BD">
        <w:rPr>
          <w:rFonts w:ascii="Arial" w:hAnsi="Arial" w:cs="Arial"/>
          <w:szCs w:val="24"/>
        </w:rPr>
        <w:t xml:space="preserve"> del 2022</w:t>
      </w:r>
      <w:r w:rsidR="0025607B" w:rsidRPr="00C740BD">
        <w:rPr>
          <w:rFonts w:ascii="Arial" w:hAnsi="Arial" w:cs="Arial"/>
          <w:szCs w:val="24"/>
        </w:rPr>
        <w:t xml:space="preserve"> </w:t>
      </w:r>
      <w:r w:rsidR="00921B6A" w:rsidRPr="00C740BD">
        <w:rPr>
          <w:rFonts w:ascii="Arial" w:hAnsi="Arial" w:cs="Arial"/>
          <w:szCs w:val="24"/>
        </w:rPr>
        <w:t xml:space="preserve">en reunión realizada con los señores Melvin Quirós Romero, Director de Crédito Público; Rossaura Trigueros Elizondo, Coordinadora </w:t>
      </w:r>
      <w:r w:rsidR="00970E7B">
        <w:rPr>
          <w:rFonts w:ascii="Arial" w:hAnsi="Arial" w:cs="Arial"/>
          <w:szCs w:val="24"/>
        </w:rPr>
        <w:t xml:space="preserve">del </w:t>
      </w:r>
      <w:r w:rsidR="00921B6A" w:rsidRPr="00C740BD">
        <w:rPr>
          <w:rFonts w:ascii="Arial" w:hAnsi="Arial" w:cs="Arial"/>
          <w:szCs w:val="24"/>
        </w:rPr>
        <w:t xml:space="preserve">Departamento Coordinación y Control del Endeudamiento Público; y Walter Acuña Aguilar, Coordinador </w:t>
      </w:r>
      <w:r w:rsidR="00970E7B">
        <w:rPr>
          <w:rFonts w:ascii="Arial" w:hAnsi="Arial" w:cs="Arial"/>
          <w:szCs w:val="24"/>
        </w:rPr>
        <w:t xml:space="preserve">de la </w:t>
      </w:r>
      <w:r w:rsidR="00921B6A" w:rsidRPr="00C740BD">
        <w:rPr>
          <w:rFonts w:ascii="Arial" w:hAnsi="Arial" w:cs="Arial"/>
          <w:szCs w:val="24"/>
        </w:rPr>
        <w:t>Unidad de Control y Seguimiento del Endeudamiento Público, todos de la Dirección de Crédito Público</w:t>
      </w:r>
      <w:r w:rsidRPr="00C740BD">
        <w:rPr>
          <w:rFonts w:ascii="Arial" w:hAnsi="Arial" w:cs="Arial"/>
          <w:szCs w:val="24"/>
        </w:rPr>
        <w:t>.</w:t>
      </w:r>
    </w:p>
    <w:p w14:paraId="45FD038F" w14:textId="77777777" w:rsidR="00801429" w:rsidRDefault="00801429" w:rsidP="008711A9">
      <w:pPr>
        <w:autoSpaceDE w:val="0"/>
        <w:autoSpaceDN w:val="0"/>
        <w:adjustRightInd w:val="0"/>
        <w:spacing w:after="0" w:line="240" w:lineRule="auto"/>
        <w:contextualSpacing/>
        <w:jc w:val="both"/>
        <w:rPr>
          <w:rFonts w:ascii="Arial" w:hAnsi="Arial" w:cs="Arial"/>
          <w:sz w:val="24"/>
          <w:szCs w:val="24"/>
        </w:rPr>
      </w:pPr>
    </w:p>
    <w:p w14:paraId="167E6FBA"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62" w:name="_Toc131075265"/>
      <w:r w:rsidRPr="00E52F90">
        <w:rPr>
          <w:rFonts w:ascii="Arial" w:eastAsiaTheme="minorHAnsi" w:hAnsi="Arial" w:cs="Arial"/>
          <w:b/>
          <w:color w:val="44546A" w:themeColor="text2"/>
          <w:sz w:val="24"/>
          <w:szCs w:val="24"/>
          <w:lang w:val="es-ES_tradnl" w:eastAsia="es-ES"/>
        </w:rPr>
        <w:t>Metodología aplicada</w:t>
      </w:r>
      <w:bookmarkEnd w:id="62"/>
    </w:p>
    <w:p w14:paraId="0B90DFD5" w14:textId="77777777" w:rsidR="00801429" w:rsidRDefault="00801429" w:rsidP="008711A9">
      <w:pPr>
        <w:autoSpaceDE w:val="0"/>
        <w:autoSpaceDN w:val="0"/>
        <w:adjustRightInd w:val="0"/>
        <w:spacing w:after="0" w:line="240" w:lineRule="auto"/>
        <w:contextualSpacing/>
        <w:jc w:val="both"/>
        <w:rPr>
          <w:rFonts w:ascii="Arial" w:eastAsia="Times New Roman" w:hAnsi="Arial" w:cs="Arial"/>
          <w:color w:val="000000"/>
          <w:sz w:val="24"/>
          <w:szCs w:val="24"/>
        </w:rPr>
      </w:pPr>
    </w:p>
    <w:p w14:paraId="4FE796C4" w14:textId="77777777" w:rsidR="00626768" w:rsidRPr="00A5000E" w:rsidRDefault="00801429" w:rsidP="00626768">
      <w:pPr>
        <w:autoSpaceDE w:val="0"/>
        <w:autoSpaceDN w:val="0"/>
        <w:adjustRightInd w:val="0"/>
        <w:spacing w:after="0"/>
        <w:contextualSpacing/>
        <w:jc w:val="both"/>
        <w:rPr>
          <w:rFonts w:ascii="Arial" w:eastAsia="Times New Roman" w:hAnsi="Arial" w:cs="Arial"/>
          <w:color w:val="000000"/>
          <w:lang w:val="es-ES" w:eastAsia="es-ES"/>
        </w:rPr>
      </w:pPr>
      <w:r w:rsidRPr="003528FE">
        <w:rPr>
          <w:rFonts w:ascii="Arial" w:eastAsia="Times New Roman" w:hAnsi="Arial" w:cs="Arial"/>
          <w:color w:val="000000"/>
          <w:szCs w:val="24"/>
        </w:rPr>
        <w:t>La auditoría se realizó de conformidad con las Normas Generales de Auditoría para el Sector Público</w:t>
      </w:r>
      <w:r w:rsidR="00921B6A">
        <w:rPr>
          <w:rFonts w:ascii="Arial" w:eastAsia="Times New Roman" w:hAnsi="Arial" w:cs="Arial"/>
          <w:color w:val="000000"/>
          <w:szCs w:val="24"/>
        </w:rPr>
        <w:t>,</w:t>
      </w:r>
      <w:r w:rsidRPr="003528FE">
        <w:rPr>
          <w:rFonts w:ascii="Arial" w:eastAsia="Times New Roman" w:hAnsi="Arial" w:cs="Arial"/>
          <w:color w:val="000000"/>
          <w:szCs w:val="24"/>
        </w:rPr>
        <w:t xml:space="preserve"> </w:t>
      </w:r>
      <w:r w:rsidR="00626768">
        <w:rPr>
          <w:rFonts w:ascii="Arial" w:eastAsia="Times New Roman" w:hAnsi="Arial" w:cs="Arial"/>
          <w:color w:val="000000"/>
          <w:lang w:val="es-ES" w:eastAsia="es-ES"/>
        </w:rPr>
        <w:t>el Procedimiento General de la Auditoría Interna</w:t>
      </w:r>
      <w:r w:rsidR="00626768" w:rsidRPr="00A5000E">
        <w:rPr>
          <w:rFonts w:ascii="Arial" w:eastAsia="Times New Roman" w:hAnsi="Arial" w:cs="Arial"/>
          <w:color w:val="000000"/>
          <w:lang w:val="es-ES" w:eastAsia="es-ES"/>
        </w:rPr>
        <w:t xml:space="preserve"> y demás normativa aplicable.</w:t>
      </w:r>
    </w:p>
    <w:p w14:paraId="028FB360" w14:textId="11293ABD" w:rsidR="00801429" w:rsidRDefault="00801429" w:rsidP="008711A9">
      <w:pPr>
        <w:autoSpaceDE w:val="0"/>
        <w:autoSpaceDN w:val="0"/>
        <w:adjustRightInd w:val="0"/>
        <w:spacing w:after="0" w:line="240" w:lineRule="auto"/>
        <w:contextualSpacing/>
        <w:jc w:val="both"/>
        <w:rPr>
          <w:rFonts w:ascii="Arial" w:hAnsi="Arial" w:cs="Arial"/>
          <w:sz w:val="24"/>
          <w:szCs w:val="24"/>
        </w:rPr>
      </w:pPr>
    </w:p>
    <w:p w14:paraId="5DE11901"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63" w:name="_Toc131075266"/>
      <w:r w:rsidRPr="00E52F90">
        <w:rPr>
          <w:rFonts w:ascii="Arial" w:eastAsiaTheme="minorHAnsi" w:hAnsi="Arial" w:cs="Arial"/>
          <w:b/>
          <w:color w:val="44546A" w:themeColor="text2"/>
          <w:sz w:val="24"/>
          <w:szCs w:val="24"/>
          <w:lang w:val="es-ES_tradnl" w:eastAsia="es-ES"/>
        </w:rPr>
        <w:t>Comunicación de resultados</w:t>
      </w:r>
      <w:bookmarkEnd w:id="44"/>
      <w:bookmarkEnd w:id="45"/>
      <w:bookmarkEnd w:id="46"/>
      <w:bookmarkEnd w:id="59"/>
      <w:bookmarkEnd w:id="63"/>
    </w:p>
    <w:p w14:paraId="1F891EDF" w14:textId="71CFD412" w:rsidR="00801429" w:rsidRDefault="00801429" w:rsidP="008711A9">
      <w:pPr>
        <w:autoSpaceDE w:val="0"/>
        <w:autoSpaceDN w:val="0"/>
        <w:adjustRightInd w:val="0"/>
        <w:spacing w:after="0" w:line="240" w:lineRule="auto"/>
        <w:contextualSpacing/>
        <w:jc w:val="both"/>
        <w:rPr>
          <w:rFonts w:ascii="Arial" w:eastAsia="Times New Roman" w:hAnsi="Arial" w:cs="Arial"/>
          <w:color w:val="000000"/>
          <w:sz w:val="24"/>
          <w:szCs w:val="24"/>
        </w:rPr>
      </w:pPr>
    </w:p>
    <w:p w14:paraId="3EF7B0AF" w14:textId="25851F61" w:rsidR="00553E9A" w:rsidRDefault="00553E9A" w:rsidP="00A12A63">
      <w:pPr>
        <w:autoSpaceDE w:val="0"/>
        <w:autoSpaceDN w:val="0"/>
        <w:adjustRightInd w:val="0"/>
        <w:spacing w:after="0" w:line="240" w:lineRule="auto"/>
        <w:contextualSpacing/>
        <w:jc w:val="both"/>
        <w:rPr>
          <w:rFonts w:ascii="Arial" w:hAnsi="Arial" w:cs="Arial"/>
          <w:szCs w:val="24"/>
        </w:rPr>
      </w:pPr>
      <w:r w:rsidRPr="00553E9A">
        <w:rPr>
          <w:rFonts w:ascii="Arial" w:hAnsi="Arial" w:cs="Arial"/>
          <w:szCs w:val="24"/>
        </w:rPr>
        <w:t>La comunicación preliminar de los resultados, conclusiones y recomendaciones producto de la auditoría</w:t>
      </w:r>
      <w:r w:rsidR="00A12A63">
        <w:rPr>
          <w:rFonts w:ascii="Arial" w:hAnsi="Arial" w:cs="Arial"/>
          <w:szCs w:val="24"/>
        </w:rPr>
        <w:t>,</w:t>
      </w:r>
      <w:r w:rsidRPr="00553E9A">
        <w:rPr>
          <w:rFonts w:ascii="Arial" w:hAnsi="Arial" w:cs="Arial"/>
          <w:szCs w:val="24"/>
        </w:rPr>
        <w:t xml:space="preserve"> se efectuó </w:t>
      </w:r>
      <w:r w:rsidRPr="00752461">
        <w:rPr>
          <w:rFonts w:ascii="Arial" w:hAnsi="Arial" w:cs="Arial"/>
          <w:szCs w:val="24"/>
        </w:rPr>
        <w:t xml:space="preserve">el 7 de </w:t>
      </w:r>
      <w:r>
        <w:rPr>
          <w:rFonts w:ascii="Arial" w:hAnsi="Arial" w:cs="Arial"/>
          <w:szCs w:val="24"/>
        </w:rPr>
        <w:t>febrero</w:t>
      </w:r>
      <w:r w:rsidRPr="00752461">
        <w:rPr>
          <w:rFonts w:ascii="Arial" w:hAnsi="Arial" w:cs="Arial"/>
          <w:szCs w:val="24"/>
        </w:rPr>
        <w:t xml:space="preserve"> de 2023</w:t>
      </w:r>
      <w:r w:rsidR="00A12A63">
        <w:rPr>
          <w:rFonts w:ascii="Arial" w:hAnsi="Arial" w:cs="Arial"/>
          <w:szCs w:val="24"/>
        </w:rPr>
        <w:t>,</w:t>
      </w:r>
      <w:r w:rsidRPr="00752461">
        <w:rPr>
          <w:rFonts w:ascii="Arial" w:hAnsi="Arial" w:cs="Arial"/>
          <w:szCs w:val="24"/>
        </w:rPr>
        <w:t xml:space="preserve"> </w:t>
      </w:r>
      <w:r w:rsidRPr="00553E9A">
        <w:rPr>
          <w:rFonts w:ascii="Arial" w:hAnsi="Arial" w:cs="Arial"/>
          <w:szCs w:val="24"/>
        </w:rPr>
        <w:t>a l</w:t>
      </w:r>
      <w:r>
        <w:rPr>
          <w:rFonts w:ascii="Arial" w:hAnsi="Arial" w:cs="Arial"/>
          <w:szCs w:val="24"/>
        </w:rPr>
        <w:t xml:space="preserve">os señores </w:t>
      </w:r>
      <w:r w:rsidR="00A12A63" w:rsidRPr="00A12A63">
        <w:rPr>
          <w:rFonts w:ascii="Arial" w:hAnsi="Arial" w:cs="Arial"/>
          <w:szCs w:val="24"/>
        </w:rPr>
        <w:t xml:space="preserve">Rossaura Trigueros </w:t>
      </w:r>
      <w:r w:rsidR="00A12A63" w:rsidRPr="00A12A63">
        <w:rPr>
          <w:rFonts w:ascii="Arial" w:hAnsi="Arial" w:cs="Arial"/>
          <w:szCs w:val="24"/>
        </w:rPr>
        <w:lastRenderedPageBreak/>
        <w:t>Elizondo</w:t>
      </w:r>
      <w:r w:rsidR="00A12A63">
        <w:rPr>
          <w:rFonts w:ascii="Arial" w:hAnsi="Arial" w:cs="Arial"/>
          <w:szCs w:val="24"/>
        </w:rPr>
        <w:t xml:space="preserve">, </w:t>
      </w:r>
      <w:r w:rsidR="00A12A63" w:rsidRPr="00A12A63">
        <w:rPr>
          <w:rFonts w:ascii="Arial" w:hAnsi="Arial" w:cs="Arial"/>
          <w:szCs w:val="24"/>
        </w:rPr>
        <w:t>Coordinadora</w:t>
      </w:r>
      <w:r w:rsidR="00A12A63">
        <w:rPr>
          <w:rFonts w:ascii="Arial" w:hAnsi="Arial" w:cs="Arial"/>
          <w:szCs w:val="24"/>
        </w:rPr>
        <w:t xml:space="preserve"> del </w:t>
      </w:r>
      <w:r w:rsidR="00A12A63" w:rsidRPr="00A12A63">
        <w:rPr>
          <w:rFonts w:ascii="Arial" w:hAnsi="Arial" w:cs="Arial"/>
          <w:szCs w:val="24"/>
        </w:rPr>
        <w:t>Departamento Coordinación y Control del Endeudamiento Público</w:t>
      </w:r>
      <w:r w:rsidR="00A12A63">
        <w:rPr>
          <w:rFonts w:ascii="Arial" w:hAnsi="Arial" w:cs="Arial"/>
          <w:szCs w:val="24"/>
        </w:rPr>
        <w:t xml:space="preserve"> </w:t>
      </w:r>
      <w:r w:rsidR="00A12A63" w:rsidRPr="00A12A63">
        <w:rPr>
          <w:rFonts w:ascii="Arial" w:hAnsi="Arial" w:cs="Arial"/>
          <w:szCs w:val="24"/>
        </w:rPr>
        <w:t>(DCCEP)</w:t>
      </w:r>
      <w:r w:rsidR="00A12A63">
        <w:rPr>
          <w:rFonts w:ascii="Arial" w:hAnsi="Arial" w:cs="Arial"/>
          <w:szCs w:val="24"/>
        </w:rPr>
        <w:t xml:space="preserve"> </w:t>
      </w:r>
      <w:r>
        <w:rPr>
          <w:rFonts w:ascii="Arial" w:hAnsi="Arial" w:cs="Arial"/>
          <w:szCs w:val="24"/>
        </w:rPr>
        <w:t xml:space="preserve">y Walter </w:t>
      </w:r>
      <w:r w:rsidR="00A12A63" w:rsidRPr="00A12A63">
        <w:rPr>
          <w:rFonts w:ascii="Arial" w:hAnsi="Arial" w:cs="Arial"/>
          <w:szCs w:val="24"/>
        </w:rPr>
        <w:t>Acuña Aguilar</w:t>
      </w:r>
      <w:r w:rsidR="00A12A63">
        <w:rPr>
          <w:rFonts w:ascii="Arial" w:hAnsi="Arial" w:cs="Arial"/>
          <w:szCs w:val="24"/>
        </w:rPr>
        <w:t xml:space="preserve">, </w:t>
      </w:r>
      <w:r w:rsidR="00A12A63" w:rsidRPr="00A12A63">
        <w:rPr>
          <w:rFonts w:ascii="Arial" w:hAnsi="Arial" w:cs="Arial"/>
          <w:szCs w:val="24"/>
        </w:rPr>
        <w:t>Coordinador</w:t>
      </w:r>
      <w:r w:rsidR="00A12A63">
        <w:rPr>
          <w:rFonts w:ascii="Arial" w:hAnsi="Arial" w:cs="Arial"/>
          <w:szCs w:val="24"/>
        </w:rPr>
        <w:t xml:space="preserve"> de la </w:t>
      </w:r>
      <w:r w:rsidR="00A12A63" w:rsidRPr="00A12A63">
        <w:rPr>
          <w:rFonts w:ascii="Arial" w:hAnsi="Arial" w:cs="Arial"/>
          <w:szCs w:val="24"/>
        </w:rPr>
        <w:t>Unidad de Control y Seguimiento del Endeudamiento Público</w:t>
      </w:r>
      <w:r w:rsidR="00A12A63">
        <w:rPr>
          <w:rFonts w:ascii="Arial" w:hAnsi="Arial" w:cs="Arial"/>
          <w:szCs w:val="24"/>
        </w:rPr>
        <w:t xml:space="preserve"> </w:t>
      </w:r>
      <w:r w:rsidR="00A12A63" w:rsidRPr="00A12A63">
        <w:rPr>
          <w:rFonts w:ascii="Arial" w:hAnsi="Arial" w:cs="Arial"/>
          <w:szCs w:val="24"/>
        </w:rPr>
        <w:t>(UCSEP)</w:t>
      </w:r>
      <w:r w:rsidR="00A12A63">
        <w:rPr>
          <w:rFonts w:ascii="Arial" w:hAnsi="Arial" w:cs="Arial"/>
          <w:szCs w:val="24"/>
        </w:rPr>
        <w:t>; ambos de la</w:t>
      </w:r>
      <w:r w:rsidR="00A12A63" w:rsidRPr="00A12A63">
        <w:rPr>
          <w:rFonts w:ascii="Arial" w:hAnsi="Arial" w:cs="Arial"/>
          <w:szCs w:val="24"/>
        </w:rPr>
        <w:t xml:space="preserve"> Dirección de Crédito Público</w:t>
      </w:r>
      <w:r w:rsidR="00A12A63">
        <w:rPr>
          <w:rFonts w:ascii="Arial" w:hAnsi="Arial" w:cs="Arial"/>
          <w:szCs w:val="24"/>
        </w:rPr>
        <w:t>.</w:t>
      </w:r>
    </w:p>
    <w:p w14:paraId="37F534B0" w14:textId="54B80178" w:rsidR="00F74D63" w:rsidRDefault="00F74D63" w:rsidP="008711A9">
      <w:pPr>
        <w:autoSpaceDE w:val="0"/>
        <w:autoSpaceDN w:val="0"/>
        <w:adjustRightInd w:val="0"/>
        <w:spacing w:after="0" w:line="240" w:lineRule="auto"/>
        <w:contextualSpacing/>
        <w:jc w:val="both"/>
        <w:rPr>
          <w:rFonts w:ascii="Arial" w:hAnsi="Arial" w:cs="Arial"/>
          <w:szCs w:val="24"/>
        </w:rPr>
      </w:pPr>
    </w:p>
    <w:p w14:paraId="321D447E" w14:textId="6D4F1E70" w:rsidR="00553E9A" w:rsidRDefault="00553E9A" w:rsidP="008711A9">
      <w:pPr>
        <w:autoSpaceDE w:val="0"/>
        <w:autoSpaceDN w:val="0"/>
        <w:adjustRightInd w:val="0"/>
        <w:spacing w:after="0" w:line="240" w:lineRule="auto"/>
        <w:contextualSpacing/>
        <w:jc w:val="both"/>
        <w:rPr>
          <w:rFonts w:ascii="Arial" w:hAnsi="Arial" w:cs="Arial"/>
          <w:szCs w:val="24"/>
        </w:rPr>
      </w:pPr>
      <w:r w:rsidRPr="00553E9A">
        <w:rPr>
          <w:rFonts w:ascii="Arial" w:hAnsi="Arial" w:cs="Arial"/>
          <w:szCs w:val="24"/>
        </w:rPr>
        <w:t xml:space="preserve">Mediante el oficio N° </w:t>
      </w:r>
      <w:r w:rsidRPr="004901AF">
        <w:rPr>
          <w:rFonts w:ascii="Arial" w:hAnsi="Arial" w:cs="Arial"/>
          <w:szCs w:val="24"/>
        </w:rPr>
        <w:t>MH-AI-OF-0179-2023</w:t>
      </w:r>
      <w:r w:rsidRPr="00BE094C">
        <w:rPr>
          <w:rFonts w:ascii="Arial" w:hAnsi="Arial" w:cs="Arial"/>
          <w:szCs w:val="24"/>
        </w:rPr>
        <w:t xml:space="preserve"> </w:t>
      </w:r>
      <w:r>
        <w:rPr>
          <w:rFonts w:ascii="Arial" w:hAnsi="Arial" w:cs="Arial"/>
          <w:szCs w:val="24"/>
        </w:rPr>
        <w:t>d</w:t>
      </w:r>
      <w:r w:rsidRPr="00BE094C">
        <w:rPr>
          <w:rFonts w:ascii="Arial" w:hAnsi="Arial" w:cs="Arial"/>
          <w:szCs w:val="24"/>
        </w:rPr>
        <w:t xml:space="preserve">el </w:t>
      </w:r>
      <w:r>
        <w:rPr>
          <w:rFonts w:ascii="Arial" w:hAnsi="Arial" w:cs="Arial"/>
          <w:szCs w:val="24"/>
        </w:rPr>
        <w:t>09 de marzo de 2023, s</w:t>
      </w:r>
      <w:r w:rsidRPr="00553E9A">
        <w:rPr>
          <w:rFonts w:ascii="Arial" w:hAnsi="Arial" w:cs="Arial"/>
          <w:szCs w:val="24"/>
        </w:rPr>
        <w:t xml:space="preserve">e convocó a la Administración Activa a la exposición verbal de resultados y se remitió </w:t>
      </w:r>
      <w:r>
        <w:rPr>
          <w:rFonts w:ascii="Arial" w:hAnsi="Arial" w:cs="Arial"/>
          <w:szCs w:val="24"/>
        </w:rPr>
        <w:t>la versión preliminar</w:t>
      </w:r>
      <w:r w:rsidRPr="00553E9A">
        <w:rPr>
          <w:rFonts w:ascii="Arial" w:hAnsi="Arial" w:cs="Arial"/>
          <w:szCs w:val="24"/>
        </w:rPr>
        <w:t xml:space="preserve"> del informe para su conocimiento y envío de observaciones en caso de considerarlo pertinente.</w:t>
      </w:r>
    </w:p>
    <w:p w14:paraId="5917C8AD" w14:textId="77777777" w:rsidR="00553E9A" w:rsidRDefault="00553E9A" w:rsidP="008711A9">
      <w:pPr>
        <w:autoSpaceDE w:val="0"/>
        <w:autoSpaceDN w:val="0"/>
        <w:adjustRightInd w:val="0"/>
        <w:spacing w:after="0" w:line="240" w:lineRule="auto"/>
        <w:contextualSpacing/>
        <w:jc w:val="both"/>
        <w:rPr>
          <w:rFonts w:ascii="Arial" w:hAnsi="Arial" w:cs="Arial"/>
          <w:szCs w:val="24"/>
        </w:rPr>
      </w:pPr>
    </w:p>
    <w:p w14:paraId="53AA4136" w14:textId="5D911ED3" w:rsidR="00473E52" w:rsidRPr="00752461" w:rsidRDefault="00553E9A" w:rsidP="008711A9">
      <w:pPr>
        <w:autoSpaceDE w:val="0"/>
        <w:autoSpaceDN w:val="0"/>
        <w:adjustRightInd w:val="0"/>
        <w:spacing w:after="0" w:line="240" w:lineRule="auto"/>
        <w:contextualSpacing/>
        <w:jc w:val="both"/>
        <w:rPr>
          <w:rFonts w:ascii="Arial" w:hAnsi="Arial" w:cs="Arial"/>
          <w:szCs w:val="24"/>
        </w:rPr>
      </w:pPr>
      <w:r>
        <w:rPr>
          <w:rFonts w:ascii="Arial" w:hAnsi="Arial" w:cs="Arial"/>
          <w:szCs w:val="24"/>
        </w:rPr>
        <w:t>L</w:t>
      </w:r>
      <w:r w:rsidR="00473E52" w:rsidRPr="00473E52">
        <w:rPr>
          <w:rFonts w:ascii="Arial" w:hAnsi="Arial" w:cs="Arial"/>
          <w:szCs w:val="24"/>
        </w:rPr>
        <w:t xml:space="preserve">a comunicación formal de resultados </w:t>
      </w:r>
      <w:r w:rsidR="00F74D63">
        <w:rPr>
          <w:rFonts w:ascii="Arial" w:hAnsi="Arial" w:cs="Arial"/>
          <w:szCs w:val="24"/>
        </w:rPr>
        <w:t xml:space="preserve">se realizó el </w:t>
      </w:r>
      <w:r w:rsidR="00473E52">
        <w:rPr>
          <w:rFonts w:ascii="Arial" w:hAnsi="Arial" w:cs="Arial"/>
          <w:szCs w:val="24"/>
        </w:rPr>
        <w:t xml:space="preserve">13 de marzo de </w:t>
      </w:r>
      <w:r w:rsidR="006263A1">
        <w:rPr>
          <w:rFonts w:ascii="Arial" w:hAnsi="Arial" w:cs="Arial"/>
          <w:szCs w:val="24"/>
        </w:rPr>
        <w:t>2023</w:t>
      </w:r>
      <w:r w:rsidR="006263A1" w:rsidRPr="00473E52">
        <w:rPr>
          <w:rFonts w:ascii="Arial" w:hAnsi="Arial" w:cs="Arial"/>
          <w:szCs w:val="24"/>
        </w:rPr>
        <w:t xml:space="preserve"> </w:t>
      </w:r>
      <w:r w:rsidR="006263A1">
        <w:rPr>
          <w:rFonts w:ascii="Arial" w:hAnsi="Arial" w:cs="Arial"/>
          <w:szCs w:val="24"/>
        </w:rPr>
        <w:t>al</w:t>
      </w:r>
      <w:r w:rsidR="00473E52">
        <w:rPr>
          <w:rFonts w:ascii="Arial" w:hAnsi="Arial" w:cs="Arial"/>
          <w:szCs w:val="24"/>
        </w:rPr>
        <w:t xml:space="preserve"> señor </w:t>
      </w:r>
      <w:r w:rsidR="00473E52" w:rsidRPr="00473E52">
        <w:rPr>
          <w:rFonts w:ascii="Arial" w:hAnsi="Arial" w:cs="Arial"/>
          <w:szCs w:val="24"/>
        </w:rPr>
        <w:t>Melvin Quirós Romero</w:t>
      </w:r>
      <w:r w:rsidR="00473E52">
        <w:rPr>
          <w:rFonts w:ascii="Arial" w:hAnsi="Arial" w:cs="Arial"/>
          <w:szCs w:val="24"/>
        </w:rPr>
        <w:t>, Director de Cr</w:t>
      </w:r>
      <w:r w:rsidR="00A12A63">
        <w:rPr>
          <w:rFonts w:ascii="Arial" w:hAnsi="Arial" w:cs="Arial"/>
          <w:szCs w:val="24"/>
        </w:rPr>
        <w:t>é</w:t>
      </w:r>
      <w:r w:rsidR="00473E52">
        <w:rPr>
          <w:rFonts w:ascii="Arial" w:hAnsi="Arial" w:cs="Arial"/>
          <w:szCs w:val="24"/>
        </w:rPr>
        <w:t>dito Público.</w:t>
      </w:r>
    </w:p>
    <w:p w14:paraId="496011B4" w14:textId="021C6433" w:rsidR="00752461" w:rsidRDefault="00752461" w:rsidP="008711A9">
      <w:pPr>
        <w:autoSpaceDE w:val="0"/>
        <w:autoSpaceDN w:val="0"/>
        <w:adjustRightInd w:val="0"/>
        <w:spacing w:after="0" w:line="240" w:lineRule="auto"/>
        <w:contextualSpacing/>
        <w:jc w:val="both"/>
        <w:rPr>
          <w:rFonts w:ascii="Arial" w:eastAsia="Times New Roman" w:hAnsi="Arial" w:cs="Arial"/>
          <w:color w:val="000000"/>
          <w:sz w:val="24"/>
          <w:szCs w:val="24"/>
        </w:rPr>
      </w:pPr>
    </w:p>
    <w:p w14:paraId="49252501" w14:textId="5BB34E16" w:rsidR="00553E9A" w:rsidRDefault="00553E9A" w:rsidP="00553E9A">
      <w:pPr>
        <w:autoSpaceDE w:val="0"/>
        <w:autoSpaceDN w:val="0"/>
        <w:adjustRightInd w:val="0"/>
        <w:spacing w:before="100" w:beforeAutospacing="1" w:after="100" w:afterAutospacing="1"/>
        <w:contextualSpacing/>
        <w:jc w:val="both"/>
        <w:rPr>
          <w:rFonts w:ascii="Arial" w:hAnsi="Arial" w:cs="Arial"/>
          <w:color w:val="000000"/>
        </w:rPr>
      </w:pPr>
      <w:r>
        <w:rPr>
          <w:rFonts w:ascii="Arial" w:hAnsi="Arial" w:cs="Arial"/>
          <w:color w:val="000000"/>
        </w:rPr>
        <w:t>La Administración Activa no remitió las observaciones al informe en versión preliminar en el plazo establecido por la Auditoría Interna</w:t>
      </w:r>
      <w:r w:rsidR="00A12A63">
        <w:rPr>
          <w:rFonts w:ascii="Arial" w:hAnsi="Arial" w:cs="Arial"/>
          <w:color w:val="000000"/>
        </w:rPr>
        <w:t>, no obstante las observaciones realizadas en la reunión fueron consideradas para la emisión de este informe</w:t>
      </w:r>
      <w:r>
        <w:rPr>
          <w:rFonts w:ascii="Arial" w:hAnsi="Arial" w:cs="Arial"/>
          <w:color w:val="000000"/>
        </w:rPr>
        <w:t>.</w:t>
      </w:r>
      <w:r w:rsidR="00A12A63">
        <w:rPr>
          <w:rFonts w:ascii="Arial" w:hAnsi="Arial" w:cs="Arial"/>
          <w:color w:val="000000"/>
        </w:rPr>
        <w:t xml:space="preserve">  </w:t>
      </w:r>
      <w:r w:rsidR="00A12A63" w:rsidRPr="001958B7">
        <w:rPr>
          <w:rFonts w:ascii="Arial" w:hAnsi="Arial" w:cs="Arial"/>
          <w:b/>
          <w:color w:val="000000"/>
        </w:rPr>
        <w:t xml:space="preserve">Ver </w:t>
      </w:r>
      <w:r w:rsidR="00A12A63" w:rsidRPr="001958B7">
        <w:rPr>
          <w:rFonts w:ascii="Arial" w:hAnsi="Arial" w:cs="Arial"/>
          <w:b/>
          <w:szCs w:val="24"/>
        </w:rPr>
        <w:t>Anexo 1</w:t>
      </w:r>
      <w:r w:rsidR="00A12A63" w:rsidRPr="00BE094C">
        <w:rPr>
          <w:rFonts w:ascii="Arial" w:hAnsi="Arial" w:cs="Arial"/>
          <w:szCs w:val="24"/>
        </w:rPr>
        <w:t>.</w:t>
      </w:r>
    </w:p>
    <w:p w14:paraId="509A949B" w14:textId="2329F266" w:rsidR="00BE094C" w:rsidRDefault="00BE094C" w:rsidP="008711A9">
      <w:pPr>
        <w:autoSpaceDE w:val="0"/>
        <w:autoSpaceDN w:val="0"/>
        <w:adjustRightInd w:val="0"/>
        <w:spacing w:after="0" w:line="240" w:lineRule="auto"/>
        <w:contextualSpacing/>
        <w:jc w:val="both"/>
        <w:rPr>
          <w:rFonts w:ascii="Arial" w:hAnsi="Arial" w:cs="Arial"/>
          <w:szCs w:val="24"/>
        </w:rPr>
      </w:pPr>
    </w:p>
    <w:p w14:paraId="5E2CAC34"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64" w:name="_Toc131075267"/>
      <w:bookmarkStart w:id="65" w:name="_Toc390783327"/>
      <w:bookmarkEnd w:id="47"/>
      <w:bookmarkEnd w:id="48"/>
      <w:r w:rsidRPr="00E52F90">
        <w:rPr>
          <w:rFonts w:ascii="Arial" w:eastAsiaTheme="minorHAnsi" w:hAnsi="Arial" w:cs="Arial"/>
          <w:b/>
          <w:color w:val="44546A" w:themeColor="text2"/>
          <w:sz w:val="24"/>
          <w:szCs w:val="24"/>
          <w:lang w:val="es-ES_tradnl" w:eastAsia="es-ES"/>
        </w:rPr>
        <w:t>Normativa relacionada con el control interno</w:t>
      </w:r>
      <w:bookmarkEnd w:id="64"/>
    </w:p>
    <w:p w14:paraId="72D73EFF" w14:textId="77777777" w:rsidR="00801429" w:rsidRPr="00BF42CA" w:rsidRDefault="00801429"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4698C35C" w14:textId="77777777" w:rsidR="00B63109" w:rsidRDefault="00801429" w:rsidP="004B00AB">
      <w:pPr>
        <w:autoSpaceDE w:val="0"/>
        <w:autoSpaceDN w:val="0"/>
        <w:adjustRightInd w:val="0"/>
        <w:spacing w:after="0"/>
        <w:jc w:val="both"/>
        <w:rPr>
          <w:rFonts w:ascii="Arial" w:hAnsi="Arial" w:cs="Arial"/>
          <w:bCs/>
          <w:color w:val="020201"/>
        </w:rPr>
      </w:pPr>
      <w:r w:rsidRPr="00B61E07">
        <w:rPr>
          <w:rFonts w:ascii="Arial" w:eastAsia="Times New Roman" w:hAnsi="Arial" w:cs="Arial"/>
          <w:color w:val="000000"/>
        </w:rPr>
        <w:t>Este informe debe tramitarse de acuerdo con los alcances establecidos en la Ley General de Control Interno (Ley N°8292)</w:t>
      </w:r>
      <w:bookmarkEnd w:id="49"/>
      <w:bookmarkEnd w:id="50"/>
      <w:bookmarkEnd w:id="51"/>
      <w:bookmarkEnd w:id="65"/>
      <w:r w:rsidR="00B61E07" w:rsidRPr="00B61E07">
        <w:rPr>
          <w:rFonts w:ascii="Arial" w:eastAsia="Times New Roman" w:hAnsi="Arial" w:cs="Arial"/>
          <w:color w:val="000000"/>
        </w:rPr>
        <w:t xml:space="preserve"> </w:t>
      </w:r>
      <w:r w:rsidR="00B61E07" w:rsidRPr="00B61E07">
        <w:rPr>
          <w:rFonts w:ascii="Arial" w:hAnsi="Arial" w:cs="Arial"/>
          <w:color w:val="000000"/>
        </w:rPr>
        <w:t xml:space="preserve">y el </w:t>
      </w:r>
      <w:r w:rsidR="00B63109" w:rsidRPr="00064C1C">
        <w:rPr>
          <w:rFonts w:ascii="Arial" w:hAnsi="Arial" w:cs="Arial"/>
          <w:bCs/>
          <w:color w:val="020201"/>
        </w:rPr>
        <w:t>Manual para la Atención de los Informes de la Contraloría General de la República e Informes y criterios emitidos por la Auditoría Interna del Ministerio de Hacienda</w:t>
      </w:r>
      <w:r w:rsidR="006C2981">
        <w:rPr>
          <w:rFonts w:ascii="Arial" w:hAnsi="Arial" w:cs="Arial"/>
          <w:bCs/>
          <w:color w:val="020201"/>
        </w:rPr>
        <w:t xml:space="preserve"> </w:t>
      </w:r>
      <w:r w:rsidR="004B00AB">
        <w:rPr>
          <w:rFonts w:ascii="Arial" w:hAnsi="Arial" w:cs="Arial"/>
          <w:bCs/>
          <w:color w:val="020201"/>
        </w:rPr>
        <w:t>(</w:t>
      </w:r>
      <w:r w:rsidR="004B00AB">
        <w:rPr>
          <w:rFonts w:ascii="Arial" w:hAnsi="Arial" w:cs="Arial"/>
        </w:rPr>
        <w:t xml:space="preserve">Decreto </w:t>
      </w:r>
      <w:r w:rsidR="004B00AB" w:rsidRPr="00064C1C">
        <w:rPr>
          <w:rFonts w:ascii="Arial" w:hAnsi="Arial" w:cs="Arial"/>
        </w:rPr>
        <w:t>N° 43676 H</w:t>
      </w:r>
      <w:r w:rsidR="004B00AB">
        <w:rPr>
          <w:rFonts w:ascii="Arial" w:hAnsi="Arial" w:cs="Arial"/>
        </w:rPr>
        <w:t>)</w:t>
      </w:r>
      <w:r w:rsidR="004B00AB">
        <w:rPr>
          <w:rStyle w:val="Refdenotaalpie"/>
          <w:rFonts w:ascii="Arial" w:hAnsi="Arial" w:cs="Arial"/>
        </w:rPr>
        <w:footnoteReference w:id="2"/>
      </w:r>
      <w:r w:rsidR="006C2981">
        <w:rPr>
          <w:rFonts w:ascii="Arial" w:hAnsi="Arial" w:cs="Arial"/>
        </w:rPr>
        <w:t>.</w:t>
      </w:r>
    </w:p>
    <w:p w14:paraId="6D8B6AAC" w14:textId="3B55CCAB" w:rsidR="00801429" w:rsidRDefault="00801429" w:rsidP="008711A9">
      <w:pPr>
        <w:autoSpaceDE w:val="0"/>
        <w:autoSpaceDN w:val="0"/>
        <w:adjustRightInd w:val="0"/>
        <w:spacing w:after="0" w:line="240" w:lineRule="auto"/>
        <w:contextualSpacing/>
        <w:jc w:val="both"/>
        <w:rPr>
          <w:rFonts w:ascii="Arial" w:hAnsi="Arial" w:cs="Arial"/>
          <w:szCs w:val="24"/>
        </w:rPr>
      </w:pPr>
    </w:p>
    <w:p w14:paraId="188848EA" w14:textId="77777777" w:rsidR="00801429" w:rsidRPr="00E52F90" w:rsidRDefault="00801429" w:rsidP="00FA160F">
      <w:pPr>
        <w:pStyle w:val="Ttulo2"/>
        <w:keepNext w:val="0"/>
        <w:keepLines w:val="0"/>
        <w:numPr>
          <w:ilvl w:val="1"/>
          <w:numId w:val="21"/>
        </w:numPr>
        <w:spacing w:before="0"/>
        <w:ind w:left="470" w:right="51" w:hanging="470"/>
        <w:contextualSpacing/>
        <w:jc w:val="both"/>
        <w:rPr>
          <w:rFonts w:ascii="Arial" w:eastAsiaTheme="minorHAnsi" w:hAnsi="Arial" w:cs="Arial"/>
          <w:b/>
          <w:color w:val="44546A" w:themeColor="text2"/>
          <w:sz w:val="24"/>
          <w:szCs w:val="24"/>
          <w:lang w:val="es-ES_tradnl" w:eastAsia="es-ES"/>
        </w:rPr>
      </w:pPr>
      <w:bookmarkStart w:id="66" w:name="_Toc390783328"/>
      <w:bookmarkStart w:id="67" w:name="_Toc131075268"/>
      <w:r w:rsidRPr="00E52F90">
        <w:rPr>
          <w:rFonts w:ascii="Arial" w:eastAsiaTheme="minorHAnsi" w:hAnsi="Arial" w:cs="Arial"/>
          <w:b/>
          <w:color w:val="44546A" w:themeColor="text2"/>
          <w:sz w:val="24"/>
          <w:szCs w:val="24"/>
          <w:lang w:val="es-ES_tradnl" w:eastAsia="es-ES"/>
        </w:rPr>
        <w:t>Generalidades</w:t>
      </w:r>
      <w:bookmarkEnd w:id="52"/>
      <w:bookmarkEnd w:id="53"/>
      <w:bookmarkEnd w:id="66"/>
      <w:bookmarkEnd w:id="67"/>
    </w:p>
    <w:p w14:paraId="3F61F95F" w14:textId="77777777" w:rsidR="00430680" w:rsidRPr="00BF42CA" w:rsidRDefault="00430680" w:rsidP="008711A9">
      <w:pPr>
        <w:spacing w:after="0" w:line="240" w:lineRule="auto"/>
        <w:rPr>
          <w:rFonts w:ascii="Arial" w:hAnsi="Arial" w:cs="Arial"/>
        </w:rPr>
      </w:pPr>
    </w:p>
    <w:p w14:paraId="2CA88C7A" w14:textId="77777777" w:rsidR="00532643" w:rsidRPr="002E12A5" w:rsidRDefault="00532643" w:rsidP="00532643">
      <w:pPr>
        <w:spacing w:before="100" w:beforeAutospacing="1" w:after="100" w:afterAutospacing="1" w:line="240" w:lineRule="auto"/>
        <w:contextualSpacing/>
        <w:jc w:val="both"/>
        <w:rPr>
          <w:rFonts w:ascii="Arial" w:hAnsi="Arial" w:cs="Arial"/>
        </w:rPr>
      </w:pPr>
      <w:bookmarkStart w:id="68" w:name="_Toc390783329"/>
      <w:r w:rsidRPr="002E12A5">
        <w:rPr>
          <w:rFonts w:ascii="Arial" w:hAnsi="Arial" w:cs="Arial"/>
        </w:rPr>
        <w:t>La Ley 8131, Ley de la Administración Financiera de la República y Presupuestos Públicos, en su artículo 78 establece que el Subsistema de Crédito Público estará conformado por los mecanismos y procedimientos utilizados, así como por los organismos que participan en la obtención, el seguimiento y control de los recursos internos y externos originados por la vía del endeudamiento público, de mediano y largo plazo.</w:t>
      </w:r>
    </w:p>
    <w:p w14:paraId="5921EB6D" w14:textId="77777777" w:rsidR="00C75826" w:rsidRDefault="00C75826" w:rsidP="00532643">
      <w:pPr>
        <w:spacing w:before="100" w:beforeAutospacing="1" w:after="100" w:afterAutospacing="1" w:line="240" w:lineRule="auto"/>
        <w:contextualSpacing/>
        <w:jc w:val="both"/>
        <w:rPr>
          <w:rFonts w:ascii="Arial" w:hAnsi="Arial" w:cs="Arial"/>
        </w:rPr>
      </w:pPr>
    </w:p>
    <w:p w14:paraId="05519CE7" w14:textId="6225E968" w:rsidR="00532643" w:rsidRPr="002E12A5" w:rsidRDefault="00532643" w:rsidP="00532643">
      <w:pPr>
        <w:spacing w:before="100" w:beforeAutospacing="1" w:after="100" w:afterAutospacing="1" w:line="240" w:lineRule="auto"/>
        <w:contextualSpacing/>
        <w:jc w:val="both"/>
        <w:rPr>
          <w:rFonts w:ascii="Arial" w:hAnsi="Arial" w:cs="Arial"/>
        </w:rPr>
      </w:pPr>
      <w:r w:rsidRPr="002E12A5">
        <w:rPr>
          <w:rFonts w:ascii="Arial" w:hAnsi="Arial" w:cs="Arial"/>
        </w:rPr>
        <w:t>Asimismo, el Reglamento de Organización de la Dirección de Crédito Público</w:t>
      </w:r>
      <w:r w:rsidR="009A6A65">
        <w:rPr>
          <w:rFonts w:ascii="Arial" w:hAnsi="Arial" w:cs="Arial"/>
        </w:rPr>
        <w:t xml:space="preserve">, decreto </w:t>
      </w:r>
      <w:r w:rsidRPr="002E12A5">
        <w:rPr>
          <w:rFonts w:ascii="Arial" w:hAnsi="Arial" w:cs="Arial"/>
        </w:rPr>
        <w:t xml:space="preserve"> N</w:t>
      </w:r>
      <w:r w:rsidR="00367C4B">
        <w:rPr>
          <w:rFonts w:ascii="Arial" w:hAnsi="Arial" w:cs="Arial"/>
        </w:rPr>
        <w:t>°</w:t>
      </w:r>
      <w:r w:rsidRPr="002E12A5">
        <w:rPr>
          <w:rFonts w:ascii="Arial" w:hAnsi="Arial" w:cs="Arial"/>
        </w:rPr>
        <w:t xml:space="preserve"> 38305-H</w:t>
      </w:r>
      <w:r>
        <w:rPr>
          <w:rFonts w:ascii="Arial" w:hAnsi="Arial" w:cs="Arial"/>
        </w:rPr>
        <w:t xml:space="preserve">, </w:t>
      </w:r>
      <w:r w:rsidRPr="002E12A5">
        <w:rPr>
          <w:rFonts w:ascii="Arial" w:hAnsi="Arial" w:cs="Arial"/>
        </w:rPr>
        <w:t xml:space="preserve">señala en el artículo </w:t>
      </w:r>
      <w:r w:rsidR="00367C4B">
        <w:rPr>
          <w:rFonts w:ascii="Arial" w:hAnsi="Arial" w:cs="Arial"/>
        </w:rPr>
        <w:t>N°</w:t>
      </w:r>
      <w:r w:rsidRPr="002E12A5">
        <w:rPr>
          <w:rFonts w:ascii="Arial" w:hAnsi="Arial" w:cs="Arial"/>
        </w:rPr>
        <w:t>11 que la Unidad de Control y Seguimiento del Endeudamiento Público tiene como objetivo el promover el uso adecuado del crédito por parte del Sector Público mediante el seguimiento al endeudamiento público externo donde el Gobierno figure como deudor o garante y a las Unidades Ejecutoras de los proyectos/créditos en ejecución.</w:t>
      </w:r>
    </w:p>
    <w:p w14:paraId="26FCF767" w14:textId="77777777" w:rsidR="009A6A65" w:rsidRDefault="009A6A65" w:rsidP="00532643">
      <w:pPr>
        <w:spacing w:after="0" w:line="240" w:lineRule="auto"/>
        <w:contextualSpacing/>
        <w:jc w:val="both"/>
        <w:rPr>
          <w:rFonts w:ascii="Arial" w:hAnsi="Arial" w:cs="Arial"/>
        </w:rPr>
      </w:pPr>
    </w:p>
    <w:p w14:paraId="4AE4FAEC" w14:textId="4F0EC89C" w:rsidR="00532643" w:rsidRPr="002E12A5" w:rsidRDefault="009A6A65" w:rsidP="009A6A65">
      <w:pPr>
        <w:spacing w:after="0" w:line="240" w:lineRule="auto"/>
        <w:contextualSpacing/>
        <w:jc w:val="both"/>
        <w:rPr>
          <w:rFonts w:ascii="Arial" w:hAnsi="Arial" w:cs="Arial"/>
        </w:rPr>
      </w:pPr>
      <w:r>
        <w:rPr>
          <w:rFonts w:ascii="Arial" w:hAnsi="Arial" w:cs="Arial"/>
        </w:rPr>
        <w:t xml:space="preserve">En </w:t>
      </w:r>
      <w:r w:rsidR="00564FFF">
        <w:rPr>
          <w:rFonts w:ascii="Arial" w:hAnsi="Arial" w:cs="Arial"/>
        </w:rPr>
        <w:t>este Reglamento</w:t>
      </w:r>
      <w:r>
        <w:rPr>
          <w:rFonts w:ascii="Arial" w:hAnsi="Arial" w:cs="Arial"/>
        </w:rPr>
        <w:t xml:space="preserve"> se indica que </w:t>
      </w:r>
      <w:r w:rsidR="00532643">
        <w:rPr>
          <w:rFonts w:ascii="Arial" w:hAnsi="Arial" w:cs="Arial"/>
        </w:rPr>
        <w:t>a la</w:t>
      </w:r>
      <w:r w:rsidR="00532643" w:rsidRPr="002E12A5">
        <w:rPr>
          <w:rFonts w:ascii="Arial" w:hAnsi="Arial" w:cs="Arial"/>
        </w:rPr>
        <w:t xml:space="preserve"> Unidad </w:t>
      </w:r>
      <w:r w:rsidR="00532643" w:rsidRPr="00C740BD">
        <w:rPr>
          <w:rFonts w:ascii="Arial" w:hAnsi="Arial" w:cs="Arial"/>
          <w:szCs w:val="24"/>
        </w:rPr>
        <w:t>de Control y Seguimiento del Endeudamiento Público</w:t>
      </w:r>
      <w:r>
        <w:rPr>
          <w:rFonts w:ascii="Arial" w:hAnsi="Arial" w:cs="Arial"/>
          <w:szCs w:val="24"/>
        </w:rPr>
        <w:t>,</w:t>
      </w:r>
      <w:r w:rsidR="00532643" w:rsidRPr="002E12A5">
        <w:rPr>
          <w:rFonts w:ascii="Arial" w:hAnsi="Arial" w:cs="Arial"/>
        </w:rPr>
        <w:t xml:space="preserve"> le corresponde entre otros aspectos</w:t>
      </w:r>
      <w:r w:rsidR="00532643">
        <w:rPr>
          <w:rFonts w:ascii="Arial" w:hAnsi="Arial" w:cs="Arial"/>
        </w:rPr>
        <w:t>,</w:t>
      </w:r>
      <w:r w:rsidR="00532643" w:rsidRPr="002E12A5">
        <w:rPr>
          <w:rFonts w:ascii="Arial" w:hAnsi="Arial" w:cs="Arial"/>
        </w:rPr>
        <w:t xml:space="preserve"> </w:t>
      </w:r>
      <w:r w:rsidR="00532643">
        <w:rPr>
          <w:rFonts w:ascii="Arial" w:hAnsi="Arial" w:cs="Arial"/>
        </w:rPr>
        <w:t>analizar</w:t>
      </w:r>
      <w:r w:rsidR="00532643" w:rsidRPr="002E12A5">
        <w:rPr>
          <w:rFonts w:ascii="Arial" w:hAnsi="Arial" w:cs="Arial"/>
        </w:rPr>
        <w:t xml:space="preserve"> y evaluar los informes de ejecución presentados por las Unidades Ejecutoras de proyectos</w:t>
      </w:r>
      <w:r w:rsidR="001958B7">
        <w:rPr>
          <w:rFonts w:ascii="Arial" w:hAnsi="Arial" w:cs="Arial"/>
        </w:rPr>
        <w:t>,</w:t>
      </w:r>
      <w:r w:rsidR="00532643" w:rsidRPr="002E12A5">
        <w:rPr>
          <w:rFonts w:ascii="Arial" w:hAnsi="Arial" w:cs="Arial"/>
        </w:rPr>
        <w:t xml:space="preserve"> según las programaciones de actividades y desembolsos</w:t>
      </w:r>
      <w:r w:rsidR="00532643">
        <w:rPr>
          <w:rFonts w:ascii="Arial" w:hAnsi="Arial" w:cs="Arial"/>
        </w:rPr>
        <w:t>; dar</w:t>
      </w:r>
      <w:r w:rsidR="00532643" w:rsidRPr="002E12A5">
        <w:rPr>
          <w:rFonts w:ascii="Arial" w:hAnsi="Arial" w:cs="Arial"/>
        </w:rPr>
        <w:t xml:space="preserve"> seguimiento a los créditos externos que se encuentran en ejecución</w:t>
      </w:r>
      <w:r w:rsidR="00532643">
        <w:rPr>
          <w:rFonts w:ascii="Arial" w:hAnsi="Arial" w:cs="Arial"/>
        </w:rPr>
        <w:t xml:space="preserve"> y elaborar </w:t>
      </w:r>
      <w:r w:rsidR="00532643" w:rsidRPr="002E12A5">
        <w:rPr>
          <w:rFonts w:ascii="Arial" w:hAnsi="Arial" w:cs="Arial"/>
        </w:rPr>
        <w:t xml:space="preserve">informes de seguimiento semestral de los créditos externos en </w:t>
      </w:r>
      <w:r w:rsidR="00532643" w:rsidRPr="002E12A5">
        <w:rPr>
          <w:rFonts w:ascii="Arial" w:hAnsi="Arial" w:cs="Arial"/>
        </w:rPr>
        <w:lastRenderedPageBreak/>
        <w:t>ejecución, mostrando el desempeño de las Unidades Ejecutoras, el avance físico y financiero del proyecto, entre otros.</w:t>
      </w:r>
    </w:p>
    <w:p w14:paraId="4D7B065A" w14:textId="77777777" w:rsidR="00532643" w:rsidRDefault="00532643" w:rsidP="00532643">
      <w:pPr>
        <w:spacing w:after="0" w:line="240" w:lineRule="auto"/>
        <w:contextualSpacing/>
        <w:jc w:val="both"/>
        <w:rPr>
          <w:rFonts w:ascii="Arial" w:hAnsi="Arial" w:cs="Arial"/>
        </w:rPr>
      </w:pPr>
    </w:p>
    <w:p w14:paraId="2D3CB8B6" w14:textId="19087C32" w:rsidR="00B35A0D" w:rsidRDefault="00B35A0D" w:rsidP="00B35A0D">
      <w:pPr>
        <w:spacing w:before="100" w:beforeAutospacing="1" w:after="100" w:afterAutospacing="1" w:line="240" w:lineRule="auto"/>
        <w:contextualSpacing/>
        <w:jc w:val="both"/>
        <w:rPr>
          <w:rFonts w:ascii="Arial" w:hAnsi="Arial" w:cs="Arial"/>
        </w:rPr>
      </w:pPr>
      <w:r w:rsidRPr="00482579">
        <w:rPr>
          <w:rFonts w:ascii="Arial" w:hAnsi="Arial" w:cs="Arial"/>
        </w:rPr>
        <w:t>Para el cumplimento de estas funciones, dicha Unidad</w:t>
      </w:r>
      <w:r>
        <w:rPr>
          <w:rFonts w:ascii="Arial" w:hAnsi="Arial" w:cs="Arial"/>
        </w:rPr>
        <w:t xml:space="preserve"> </w:t>
      </w:r>
      <w:r w:rsidR="001958B7">
        <w:rPr>
          <w:rFonts w:ascii="Arial" w:hAnsi="Arial" w:cs="Arial"/>
        </w:rPr>
        <w:t>tiene</w:t>
      </w:r>
      <w:r>
        <w:rPr>
          <w:rFonts w:ascii="Arial" w:hAnsi="Arial" w:cs="Arial"/>
        </w:rPr>
        <w:t xml:space="preserve"> </w:t>
      </w:r>
      <w:r w:rsidRPr="00482579">
        <w:rPr>
          <w:rFonts w:ascii="Arial" w:hAnsi="Arial" w:cs="Arial"/>
        </w:rPr>
        <w:t>controles</w:t>
      </w:r>
      <w:r w:rsidR="00CE105E">
        <w:rPr>
          <w:rFonts w:ascii="Arial" w:hAnsi="Arial" w:cs="Arial"/>
        </w:rPr>
        <w:t xml:space="preserve"> incluidos en los documentos</w:t>
      </w:r>
      <w:r>
        <w:rPr>
          <w:rFonts w:ascii="Arial" w:hAnsi="Arial" w:cs="Arial"/>
        </w:rPr>
        <w:t>,</w:t>
      </w:r>
      <w:r w:rsidRPr="00482579">
        <w:rPr>
          <w:rFonts w:ascii="Arial" w:hAnsi="Arial" w:cs="Arial"/>
        </w:rPr>
        <w:t xml:space="preserve"> como la </w:t>
      </w:r>
      <w:r w:rsidRPr="00CE105E">
        <w:rPr>
          <w:rFonts w:ascii="Arial" w:hAnsi="Arial" w:cs="Arial"/>
          <w:i/>
        </w:rPr>
        <w:t>“Metodología para el Seguimiento de Programas / Proyectos de Inversión Pública financiados con Endeudamiento Público”</w:t>
      </w:r>
      <w:r w:rsidRPr="00482579">
        <w:rPr>
          <w:rFonts w:ascii="Arial" w:hAnsi="Arial" w:cs="Arial"/>
        </w:rPr>
        <w:t xml:space="preserve">, el </w:t>
      </w:r>
      <w:r w:rsidRPr="006C0D71">
        <w:rPr>
          <w:rFonts w:ascii="Arial" w:hAnsi="Arial" w:cs="Arial"/>
          <w:i/>
        </w:rPr>
        <w:t>“Procedimiento Interno de Seguimiento de los Créditos Externos en período de ejecución del Gobierno Central y resto del Sector Público”</w:t>
      </w:r>
      <w:r w:rsidRPr="00482579">
        <w:rPr>
          <w:rFonts w:ascii="Arial" w:hAnsi="Arial" w:cs="Arial"/>
        </w:rPr>
        <w:t xml:space="preserve">, </w:t>
      </w:r>
      <w:r>
        <w:rPr>
          <w:rFonts w:ascii="Arial" w:hAnsi="Arial" w:cs="Arial"/>
        </w:rPr>
        <w:t xml:space="preserve">y </w:t>
      </w:r>
      <w:r w:rsidRPr="00482579">
        <w:rPr>
          <w:rFonts w:ascii="Arial" w:hAnsi="Arial" w:cs="Arial"/>
        </w:rPr>
        <w:t xml:space="preserve">la </w:t>
      </w:r>
      <w:r w:rsidRPr="006C0D71">
        <w:rPr>
          <w:rFonts w:ascii="Arial" w:hAnsi="Arial" w:cs="Arial"/>
          <w:i/>
        </w:rPr>
        <w:t>“Metodología para la clasificación del desempeño de los programas/proyectos financiados con endeudamiento externo</w:t>
      </w:r>
      <w:r w:rsidR="008E1168" w:rsidRPr="006C0D71">
        <w:rPr>
          <w:rFonts w:ascii="Arial" w:hAnsi="Arial" w:cs="Arial"/>
          <w:i/>
        </w:rPr>
        <w:t>”</w:t>
      </w:r>
      <w:r w:rsidR="00CE105E">
        <w:rPr>
          <w:rFonts w:ascii="Arial" w:hAnsi="Arial" w:cs="Arial"/>
        </w:rPr>
        <w:t xml:space="preserve">, que se complementan con actividades tales como </w:t>
      </w:r>
      <w:r w:rsidR="00CE105E" w:rsidRPr="00482579">
        <w:rPr>
          <w:rFonts w:ascii="Arial" w:hAnsi="Arial" w:cs="Arial"/>
        </w:rPr>
        <w:t>reuniones virtuales, llamadas telefónicas, correos electrónicos con consultas técnicas y revisiones de información en las diferentes plantillas establecidas de llenado de información</w:t>
      </w:r>
      <w:r w:rsidR="00892050">
        <w:rPr>
          <w:rFonts w:ascii="Arial" w:hAnsi="Arial" w:cs="Arial"/>
        </w:rPr>
        <w:t>.</w:t>
      </w:r>
    </w:p>
    <w:p w14:paraId="0CDDAF73" w14:textId="77777777" w:rsidR="00B35A0D" w:rsidRDefault="00B35A0D" w:rsidP="00532643">
      <w:pPr>
        <w:spacing w:before="100" w:beforeAutospacing="1" w:after="100" w:afterAutospacing="1" w:line="240" w:lineRule="auto"/>
        <w:contextualSpacing/>
        <w:jc w:val="both"/>
        <w:rPr>
          <w:rFonts w:ascii="Arial" w:hAnsi="Arial" w:cs="Arial"/>
        </w:rPr>
      </w:pPr>
    </w:p>
    <w:p w14:paraId="03AF83A4" w14:textId="0D86F124" w:rsidR="00532643" w:rsidRDefault="00532643" w:rsidP="00532643">
      <w:pPr>
        <w:spacing w:before="100" w:beforeAutospacing="1" w:after="100" w:afterAutospacing="1" w:line="240" w:lineRule="auto"/>
        <w:contextualSpacing/>
        <w:jc w:val="both"/>
        <w:rPr>
          <w:rFonts w:ascii="Arial" w:hAnsi="Arial" w:cs="Arial"/>
        </w:rPr>
      </w:pPr>
      <w:r>
        <w:rPr>
          <w:rFonts w:ascii="Arial" w:hAnsi="Arial" w:cs="Arial"/>
        </w:rPr>
        <w:t>E</w:t>
      </w:r>
      <w:r w:rsidRPr="002E12A5">
        <w:rPr>
          <w:rFonts w:ascii="Arial" w:hAnsi="Arial" w:cs="Arial"/>
        </w:rPr>
        <w:t>l proceso antes citado</w:t>
      </w:r>
      <w:r>
        <w:rPr>
          <w:rFonts w:ascii="Arial" w:hAnsi="Arial" w:cs="Arial"/>
        </w:rPr>
        <w:t>,</w:t>
      </w:r>
      <w:r w:rsidRPr="002E12A5">
        <w:rPr>
          <w:rFonts w:ascii="Arial" w:hAnsi="Arial" w:cs="Arial"/>
        </w:rPr>
        <w:t xml:space="preserve"> </w:t>
      </w:r>
      <w:r w:rsidR="00843222">
        <w:rPr>
          <w:rFonts w:ascii="Arial" w:hAnsi="Arial" w:cs="Arial"/>
        </w:rPr>
        <w:t xml:space="preserve">de acuerdo con </w:t>
      </w:r>
      <w:r w:rsidR="00843222" w:rsidRPr="00843222">
        <w:rPr>
          <w:rFonts w:ascii="Arial" w:hAnsi="Arial" w:cs="Arial"/>
        </w:rPr>
        <w:t>el Informe del I Semestre 2022 emitido por la Dirección de Crédito Público, en su Anexo N°</w:t>
      </w:r>
      <w:r w:rsidR="00843222">
        <w:rPr>
          <w:rFonts w:ascii="Arial" w:hAnsi="Arial" w:cs="Arial"/>
        </w:rPr>
        <w:t>3</w:t>
      </w:r>
      <w:r w:rsidR="00843222" w:rsidRPr="00843222">
        <w:rPr>
          <w:rFonts w:ascii="Arial" w:hAnsi="Arial" w:cs="Arial"/>
        </w:rPr>
        <w:t xml:space="preserve"> “Programación de desembolsos de los créditos externos de inversión en ejecución al 30 de junio de 2022”</w:t>
      </w:r>
      <w:r w:rsidR="00843222">
        <w:rPr>
          <w:rFonts w:ascii="Arial" w:hAnsi="Arial" w:cs="Arial"/>
        </w:rPr>
        <w:t>,</w:t>
      </w:r>
      <w:r w:rsidRPr="002E12A5">
        <w:rPr>
          <w:rFonts w:ascii="Arial" w:hAnsi="Arial" w:cs="Arial"/>
        </w:rPr>
        <w:t xml:space="preserve">durante el periodo </w:t>
      </w:r>
      <w:r>
        <w:rPr>
          <w:rFonts w:ascii="Arial" w:hAnsi="Arial" w:cs="Arial"/>
        </w:rPr>
        <w:t xml:space="preserve">de enero a diciembre de </w:t>
      </w:r>
      <w:r w:rsidRPr="002E12A5">
        <w:rPr>
          <w:rFonts w:ascii="Arial" w:hAnsi="Arial" w:cs="Arial"/>
        </w:rPr>
        <w:t>2022</w:t>
      </w:r>
      <w:r>
        <w:rPr>
          <w:rFonts w:ascii="Arial" w:hAnsi="Arial" w:cs="Arial"/>
        </w:rPr>
        <w:t>,</w:t>
      </w:r>
      <w:r w:rsidRPr="002E12A5">
        <w:rPr>
          <w:rFonts w:ascii="Arial" w:hAnsi="Arial" w:cs="Arial"/>
        </w:rPr>
        <w:t xml:space="preserve"> </w:t>
      </w:r>
      <w:r w:rsidR="00843222">
        <w:rPr>
          <w:rFonts w:ascii="Arial" w:hAnsi="Arial" w:cs="Arial"/>
        </w:rPr>
        <w:t xml:space="preserve">se </w:t>
      </w:r>
      <w:r w:rsidRPr="002E12A5">
        <w:rPr>
          <w:rFonts w:ascii="Arial" w:hAnsi="Arial" w:cs="Arial"/>
        </w:rPr>
        <w:t>dispone de una cartera de 25 préstamos en ejecución</w:t>
      </w:r>
      <w:r>
        <w:rPr>
          <w:rFonts w:ascii="Arial" w:hAnsi="Arial" w:cs="Arial"/>
        </w:rPr>
        <w:t>,</w:t>
      </w:r>
      <w:r w:rsidRPr="002E12A5">
        <w:rPr>
          <w:rFonts w:ascii="Arial" w:hAnsi="Arial" w:cs="Arial"/>
        </w:rPr>
        <w:t xml:space="preserve"> que corresponden a los diferentes programas/proyectos</w:t>
      </w:r>
      <w:r>
        <w:rPr>
          <w:rFonts w:ascii="Arial" w:hAnsi="Arial" w:cs="Arial"/>
        </w:rPr>
        <w:t>,</w:t>
      </w:r>
      <w:r w:rsidRPr="002E12A5">
        <w:rPr>
          <w:rFonts w:ascii="Arial" w:hAnsi="Arial" w:cs="Arial"/>
        </w:rPr>
        <w:t xml:space="preserve"> por un monto de $ 4.193.918.022,65</w:t>
      </w:r>
      <w:r>
        <w:rPr>
          <w:rFonts w:ascii="Arial" w:hAnsi="Arial" w:cs="Arial"/>
        </w:rPr>
        <w:t>.</w:t>
      </w:r>
    </w:p>
    <w:p w14:paraId="3366CAC1" w14:textId="4C6A6677" w:rsidR="008A4CAE" w:rsidRDefault="008A4CAE" w:rsidP="008711A9">
      <w:pPr>
        <w:autoSpaceDE w:val="0"/>
        <w:autoSpaceDN w:val="0"/>
        <w:adjustRightInd w:val="0"/>
        <w:spacing w:after="0" w:line="240" w:lineRule="auto"/>
        <w:contextualSpacing/>
        <w:jc w:val="both"/>
        <w:rPr>
          <w:rFonts w:ascii="Arial" w:hAnsi="Arial" w:cs="Arial"/>
          <w:color w:val="17365D"/>
          <w:szCs w:val="24"/>
        </w:rPr>
      </w:pPr>
    </w:p>
    <w:p w14:paraId="28E9B787" w14:textId="77777777" w:rsidR="00294239" w:rsidRPr="00BF42CA" w:rsidRDefault="00294239" w:rsidP="008711A9">
      <w:pPr>
        <w:autoSpaceDE w:val="0"/>
        <w:autoSpaceDN w:val="0"/>
        <w:adjustRightInd w:val="0"/>
        <w:spacing w:after="0" w:line="240" w:lineRule="auto"/>
        <w:contextualSpacing/>
        <w:jc w:val="both"/>
        <w:rPr>
          <w:rFonts w:ascii="Arial" w:hAnsi="Arial" w:cs="Arial"/>
          <w:color w:val="17365D"/>
          <w:szCs w:val="24"/>
        </w:rPr>
      </w:pPr>
    </w:p>
    <w:p w14:paraId="097D17EC" w14:textId="77777777" w:rsidR="00801429" w:rsidRPr="00E52F90" w:rsidRDefault="00801429" w:rsidP="008711A9">
      <w:pPr>
        <w:pStyle w:val="Ttulo1"/>
        <w:keepNext w:val="0"/>
        <w:keepLines w:val="0"/>
        <w:numPr>
          <w:ilvl w:val="0"/>
          <w:numId w:val="21"/>
        </w:numPr>
        <w:spacing w:before="0" w:after="0"/>
        <w:ind w:left="470" w:hanging="470"/>
        <w:contextualSpacing/>
        <w:rPr>
          <w:rFonts w:ascii="Arial" w:hAnsi="Arial" w:cs="Arial"/>
          <w:b/>
          <w:bCs/>
          <w:color w:val="44546A" w:themeColor="text2"/>
          <w:kern w:val="28"/>
          <w:sz w:val="28"/>
          <w:szCs w:val="28"/>
          <w:lang w:eastAsia="es-ES"/>
        </w:rPr>
      </w:pPr>
      <w:bookmarkStart w:id="69" w:name="_Toc131075269"/>
      <w:r w:rsidRPr="00E52F90">
        <w:rPr>
          <w:rFonts w:ascii="Arial" w:hAnsi="Arial" w:cs="Arial"/>
          <w:b/>
          <w:bCs/>
          <w:color w:val="44546A" w:themeColor="text2"/>
          <w:kern w:val="28"/>
          <w:sz w:val="28"/>
          <w:szCs w:val="28"/>
          <w:lang w:eastAsia="es-ES"/>
        </w:rPr>
        <w:t>RESULTADOS</w:t>
      </w:r>
      <w:bookmarkStart w:id="70" w:name="_Toc390783332"/>
      <w:bookmarkEnd w:id="68"/>
      <w:bookmarkEnd w:id="69"/>
    </w:p>
    <w:p w14:paraId="1F0B68FE" w14:textId="77777777" w:rsidR="00FB6B02" w:rsidRDefault="00FB6B02" w:rsidP="00FB6B02">
      <w:pPr>
        <w:spacing w:after="0" w:line="240" w:lineRule="auto"/>
        <w:jc w:val="both"/>
        <w:rPr>
          <w:rFonts w:ascii="Arial" w:hAnsi="Arial" w:cs="Arial"/>
          <w:sz w:val="24"/>
        </w:rPr>
      </w:pPr>
    </w:p>
    <w:p w14:paraId="13C78ADA" w14:textId="6C646800" w:rsidR="00824352" w:rsidRPr="00E52F90" w:rsidRDefault="00824352" w:rsidP="008711A9">
      <w:pPr>
        <w:pStyle w:val="Ttulo1"/>
        <w:keepNext w:val="0"/>
        <w:keepLines w:val="0"/>
        <w:numPr>
          <w:ilvl w:val="1"/>
          <w:numId w:val="21"/>
        </w:numPr>
        <w:spacing w:before="0" w:after="0"/>
        <w:ind w:left="709" w:hanging="709"/>
        <w:contextualSpacing/>
        <w:jc w:val="both"/>
        <w:rPr>
          <w:rFonts w:ascii="Arial" w:hAnsi="Arial" w:cs="Arial"/>
          <w:b/>
          <w:bCs/>
          <w:color w:val="44546A" w:themeColor="text2"/>
          <w:kern w:val="28"/>
          <w:sz w:val="24"/>
          <w:szCs w:val="24"/>
          <w:lang w:eastAsia="es-ES"/>
        </w:rPr>
      </w:pPr>
      <w:bookmarkStart w:id="71" w:name="_Toc131075270"/>
      <w:r w:rsidRPr="00E52F90">
        <w:rPr>
          <w:rFonts w:ascii="Arial" w:hAnsi="Arial" w:cs="Arial"/>
          <w:b/>
          <w:bCs/>
          <w:color w:val="44546A" w:themeColor="text2"/>
          <w:kern w:val="28"/>
          <w:sz w:val="24"/>
          <w:szCs w:val="24"/>
          <w:lang w:eastAsia="es-ES"/>
        </w:rPr>
        <w:t xml:space="preserve">Sobre </w:t>
      </w:r>
      <w:r w:rsidR="009A6A65" w:rsidRPr="009A6A65">
        <w:rPr>
          <w:rFonts w:ascii="Arial" w:hAnsi="Arial" w:cs="Arial"/>
          <w:b/>
          <w:bCs/>
          <w:color w:val="44546A" w:themeColor="text2"/>
          <w:kern w:val="28"/>
          <w:sz w:val="24"/>
          <w:szCs w:val="24"/>
          <w:lang w:eastAsia="es-ES"/>
        </w:rPr>
        <w:t>la información relacionada con la determinación de pesos relativos concernientes al avance físico</w:t>
      </w:r>
      <w:r w:rsidR="009A6A65">
        <w:rPr>
          <w:rFonts w:ascii="Arial" w:hAnsi="Arial" w:cs="Arial"/>
          <w:b/>
          <w:bCs/>
          <w:color w:val="44546A" w:themeColor="text2"/>
          <w:kern w:val="28"/>
          <w:sz w:val="24"/>
          <w:szCs w:val="24"/>
          <w:lang w:eastAsia="es-ES"/>
        </w:rPr>
        <w:t xml:space="preserve"> reportado por las Unidades Ejecutoras</w:t>
      </w:r>
      <w:bookmarkEnd w:id="71"/>
    </w:p>
    <w:p w14:paraId="692697F9" w14:textId="77777777" w:rsidR="00A002D5" w:rsidRPr="00D974B5" w:rsidRDefault="00A002D5" w:rsidP="008711A9">
      <w:pPr>
        <w:pStyle w:val="Default"/>
        <w:ind w:left="756"/>
        <w:rPr>
          <w:rFonts w:ascii="Arial" w:hAnsi="Arial" w:cs="Arial"/>
          <w:sz w:val="22"/>
        </w:rPr>
      </w:pPr>
    </w:p>
    <w:p w14:paraId="08A10FF1" w14:textId="77777777" w:rsidR="008A4CAE" w:rsidRDefault="008A4CAE" w:rsidP="008A4CAE">
      <w:pPr>
        <w:autoSpaceDE w:val="0"/>
        <w:autoSpaceDN w:val="0"/>
        <w:adjustRightInd w:val="0"/>
        <w:spacing w:after="0" w:line="240" w:lineRule="auto"/>
        <w:contextualSpacing/>
        <w:jc w:val="both"/>
        <w:rPr>
          <w:rFonts w:ascii="Arial" w:eastAsia="Times New Roman" w:hAnsi="Arial" w:cs="Arial"/>
          <w:color w:val="000000"/>
          <w:szCs w:val="24"/>
        </w:rPr>
      </w:pPr>
      <w:r w:rsidRPr="00AE7933">
        <w:rPr>
          <w:rFonts w:ascii="Arial" w:eastAsia="Times New Roman" w:hAnsi="Arial" w:cs="Arial"/>
          <w:color w:val="000000"/>
          <w:szCs w:val="24"/>
        </w:rPr>
        <w:t>Las Normas de control interno para el Sector Público, en su numeral 5.6.</w:t>
      </w:r>
      <w:r>
        <w:rPr>
          <w:rFonts w:ascii="Arial" w:eastAsia="Times New Roman" w:hAnsi="Arial" w:cs="Arial"/>
          <w:color w:val="000000"/>
          <w:szCs w:val="24"/>
        </w:rPr>
        <w:t>1</w:t>
      </w:r>
      <w:r w:rsidRPr="00AE7933">
        <w:rPr>
          <w:rFonts w:ascii="Arial" w:eastAsia="Times New Roman" w:hAnsi="Arial" w:cs="Arial"/>
          <w:color w:val="000000"/>
          <w:szCs w:val="24"/>
        </w:rPr>
        <w:t xml:space="preserve"> C</w:t>
      </w:r>
      <w:r>
        <w:rPr>
          <w:rFonts w:ascii="Arial" w:eastAsia="Times New Roman" w:hAnsi="Arial" w:cs="Arial"/>
          <w:color w:val="000000"/>
          <w:szCs w:val="24"/>
        </w:rPr>
        <w:t>onfiabili</w:t>
      </w:r>
      <w:r w:rsidRPr="00AE7933">
        <w:rPr>
          <w:rFonts w:ascii="Arial" w:eastAsia="Times New Roman" w:hAnsi="Arial" w:cs="Arial"/>
          <w:color w:val="000000"/>
          <w:szCs w:val="24"/>
        </w:rPr>
        <w:t>dad</w:t>
      </w:r>
      <w:r>
        <w:rPr>
          <w:rFonts w:ascii="Arial" w:eastAsia="Times New Roman" w:hAnsi="Arial" w:cs="Arial"/>
          <w:color w:val="000000"/>
          <w:szCs w:val="24"/>
        </w:rPr>
        <w:t xml:space="preserve">, </w:t>
      </w:r>
      <w:r w:rsidRPr="00AE7933">
        <w:rPr>
          <w:rFonts w:ascii="Arial" w:eastAsia="Times New Roman" w:hAnsi="Arial" w:cs="Arial"/>
          <w:color w:val="000000"/>
          <w:szCs w:val="24"/>
        </w:rPr>
        <w:t xml:space="preserve">señalan: </w:t>
      </w:r>
    </w:p>
    <w:p w14:paraId="25ED33EB" w14:textId="77777777" w:rsidR="008A4CAE" w:rsidRPr="00AE7933" w:rsidRDefault="008A4CAE" w:rsidP="008A4CAE">
      <w:pPr>
        <w:autoSpaceDE w:val="0"/>
        <w:autoSpaceDN w:val="0"/>
        <w:adjustRightInd w:val="0"/>
        <w:spacing w:after="0" w:line="240" w:lineRule="auto"/>
        <w:contextualSpacing/>
        <w:jc w:val="both"/>
        <w:rPr>
          <w:rFonts w:ascii="Arial" w:eastAsia="Times New Roman" w:hAnsi="Arial" w:cs="Arial"/>
          <w:color w:val="000000"/>
          <w:szCs w:val="24"/>
        </w:rPr>
      </w:pPr>
    </w:p>
    <w:p w14:paraId="17ED8E06" w14:textId="77777777" w:rsidR="008A4CAE" w:rsidRDefault="008A4CAE" w:rsidP="00B56181">
      <w:pPr>
        <w:autoSpaceDE w:val="0"/>
        <w:autoSpaceDN w:val="0"/>
        <w:adjustRightInd w:val="0"/>
        <w:spacing w:after="0" w:line="240" w:lineRule="auto"/>
        <w:ind w:left="708" w:right="616"/>
        <w:contextualSpacing/>
        <w:jc w:val="both"/>
        <w:rPr>
          <w:rFonts w:ascii="Arial" w:eastAsia="Times New Roman" w:hAnsi="Arial" w:cs="Arial"/>
          <w:i/>
          <w:color w:val="000000"/>
          <w:szCs w:val="24"/>
        </w:rPr>
      </w:pPr>
      <w:r>
        <w:rPr>
          <w:rFonts w:ascii="Arial" w:eastAsia="Times New Roman" w:hAnsi="Arial" w:cs="Arial"/>
          <w:i/>
          <w:color w:val="000000"/>
          <w:szCs w:val="24"/>
        </w:rPr>
        <w:t>“</w:t>
      </w:r>
      <w:r w:rsidRPr="00AE7933">
        <w:rPr>
          <w:rFonts w:ascii="Arial" w:eastAsia="Times New Roman" w:hAnsi="Arial" w:cs="Arial"/>
          <w:b/>
          <w:i/>
          <w:color w:val="000000"/>
          <w:szCs w:val="24"/>
        </w:rPr>
        <w:t>5.6</w:t>
      </w:r>
      <w:r>
        <w:rPr>
          <w:rFonts w:ascii="Arial" w:eastAsia="Times New Roman" w:hAnsi="Arial" w:cs="Arial"/>
          <w:b/>
          <w:i/>
          <w:color w:val="000000"/>
          <w:szCs w:val="24"/>
        </w:rPr>
        <w:t>.1</w:t>
      </w:r>
      <w:r w:rsidRPr="00AE7933">
        <w:rPr>
          <w:rFonts w:ascii="Arial" w:eastAsia="Times New Roman" w:hAnsi="Arial" w:cs="Arial"/>
          <w:b/>
          <w:i/>
          <w:color w:val="000000"/>
          <w:szCs w:val="24"/>
        </w:rPr>
        <w:t xml:space="preserve"> C</w:t>
      </w:r>
      <w:r>
        <w:rPr>
          <w:rFonts w:ascii="Arial" w:eastAsia="Times New Roman" w:hAnsi="Arial" w:cs="Arial"/>
          <w:b/>
          <w:i/>
          <w:color w:val="000000"/>
          <w:szCs w:val="24"/>
        </w:rPr>
        <w:t>onfiabilidad</w:t>
      </w:r>
      <w:r>
        <w:rPr>
          <w:rFonts w:ascii="Arial" w:eastAsia="Times New Roman" w:hAnsi="Arial" w:cs="Arial"/>
          <w:i/>
          <w:color w:val="000000"/>
          <w:szCs w:val="24"/>
        </w:rPr>
        <w:t>.</w:t>
      </w:r>
      <w:r w:rsidR="008C641B">
        <w:rPr>
          <w:rFonts w:ascii="Arial" w:eastAsia="Times New Roman" w:hAnsi="Arial" w:cs="Arial"/>
          <w:i/>
          <w:color w:val="000000"/>
          <w:szCs w:val="24"/>
        </w:rPr>
        <w:t xml:space="preserve">// </w:t>
      </w:r>
      <w:r w:rsidRPr="008A4CAE">
        <w:rPr>
          <w:rFonts w:ascii="Arial" w:eastAsia="Times New Roman" w:hAnsi="Arial" w:cs="Arial"/>
          <w:i/>
          <w:color w:val="000000"/>
          <w:szCs w:val="24"/>
        </w:rPr>
        <w:t>La información debe poseer las cualidades necesarias que la acrediten como confiable, de modo que se encuentre libre de errores, defectos, omisiones y modificaciones no autorizadas, y sea emitida por la instancia competente.</w:t>
      </w:r>
      <w:r>
        <w:rPr>
          <w:rFonts w:ascii="Arial" w:eastAsia="Times New Roman" w:hAnsi="Arial" w:cs="Arial"/>
          <w:i/>
          <w:color w:val="000000"/>
          <w:szCs w:val="24"/>
        </w:rPr>
        <w:t>”</w:t>
      </w:r>
    </w:p>
    <w:p w14:paraId="0F6E32E1" w14:textId="77777777" w:rsidR="00B56181" w:rsidRDefault="00B56181" w:rsidP="008711A9">
      <w:pPr>
        <w:autoSpaceDE w:val="0"/>
        <w:autoSpaceDN w:val="0"/>
        <w:adjustRightInd w:val="0"/>
        <w:spacing w:after="0" w:line="240" w:lineRule="auto"/>
        <w:contextualSpacing/>
        <w:jc w:val="both"/>
        <w:rPr>
          <w:rFonts w:ascii="Arial" w:eastAsia="Times New Roman" w:hAnsi="Arial" w:cs="Arial"/>
          <w:color w:val="000000"/>
          <w:szCs w:val="24"/>
        </w:rPr>
      </w:pPr>
    </w:p>
    <w:p w14:paraId="11A2AC25" w14:textId="77777777" w:rsidR="00DD17B0" w:rsidRDefault="00DD17B0" w:rsidP="009564AA">
      <w:pPr>
        <w:autoSpaceDE w:val="0"/>
        <w:autoSpaceDN w:val="0"/>
        <w:adjustRightInd w:val="0"/>
        <w:spacing w:after="0" w:line="240" w:lineRule="auto"/>
        <w:contextualSpacing/>
        <w:jc w:val="both"/>
        <w:rPr>
          <w:rFonts w:ascii="Arial" w:eastAsia="Times New Roman" w:hAnsi="Arial" w:cs="Arial"/>
          <w:color w:val="000000"/>
          <w:szCs w:val="24"/>
        </w:rPr>
      </w:pPr>
      <w:r>
        <w:rPr>
          <w:rFonts w:ascii="Arial" w:eastAsia="Times New Roman" w:hAnsi="Arial" w:cs="Arial"/>
          <w:color w:val="000000"/>
          <w:szCs w:val="24"/>
        </w:rPr>
        <w:t xml:space="preserve">Con respecto al seguimiento de programas o proyectos </w:t>
      </w:r>
      <w:r w:rsidRPr="009564AA">
        <w:rPr>
          <w:rFonts w:ascii="Arial" w:eastAsia="Times New Roman" w:hAnsi="Arial" w:cs="Arial"/>
          <w:color w:val="000000"/>
          <w:szCs w:val="24"/>
        </w:rPr>
        <w:t xml:space="preserve">de </w:t>
      </w:r>
      <w:r>
        <w:rPr>
          <w:rFonts w:ascii="Arial" w:eastAsia="Times New Roman" w:hAnsi="Arial" w:cs="Arial"/>
          <w:color w:val="000000"/>
          <w:szCs w:val="24"/>
        </w:rPr>
        <w:t>i</w:t>
      </w:r>
      <w:r w:rsidRPr="009564AA">
        <w:rPr>
          <w:rFonts w:ascii="Arial" w:eastAsia="Times New Roman" w:hAnsi="Arial" w:cs="Arial"/>
          <w:color w:val="000000"/>
          <w:szCs w:val="24"/>
        </w:rPr>
        <w:t xml:space="preserve">nversión </w:t>
      </w:r>
      <w:r>
        <w:rPr>
          <w:rFonts w:ascii="Arial" w:eastAsia="Times New Roman" w:hAnsi="Arial" w:cs="Arial"/>
          <w:color w:val="000000"/>
          <w:szCs w:val="24"/>
        </w:rPr>
        <w:t>p</w:t>
      </w:r>
      <w:r w:rsidRPr="009564AA">
        <w:rPr>
          <w:rFonts w:ascii="Arial" w:eastAsia="Times New Roman" w:hAnsi="Arial" w:cs="Arial"/>
          <w:color w:val="000000"/>
          <w:szCs w:val="24"/>
        </w:rPr>
        <w:t xml:space="preserve">ública financiados mediante </w:t>
      </w:r>
      <w:r>
        <w:rPr>
          <w:rFonts w:ascii="Arial" w:eastAsia="Times New Roman" w:hAnsi="Arial" w:cs="Arial"/>
          <w:color w:val="000000"/>
          <w:szCs w:val="24"/>
        </w:rPr>
        <w:t>e</w:t>
      </w:r>
      <w:r w:rsidRPr="009564AA">
        <w:rPr>
          <w:rFonts w:ascii="Arial" w:eastAsia="Times New Roman" w:hAnsi="Arial" w:cs="Arial"/>
          <w:color w:val="000000"/>
          <w:szCs w:val="24"/>
        </w:rPr>
        <w:t xml:space="preserve">ndeudamiento </w:t>
      </w:r>
      <w:r>
        <w:rPr>
          <w:rFonts w:ascii="Arial" w:eastAsia="Times New Roman" w:hAnsi="Arial" w:cs="Arial"/>
          <w:color w:val="000000"/>
          <w:szCs w:val="24"/>
        </w:rPr>
        <w:t>p</w:t>
      </w:r>
      <w:r w:rsidRPr="009564AA">
        <w:rPr>
          <w:rFonts w:ascii="Arial" w:eastAsia="Times New Roman" w:hAnsi="Arial" w:cs="Arial"/>
          <w:color w:val="000000"/>
          <w:szCs w:val="24"/>
        </w:rPr>
        <w:t>úblico</w:t>
      </w:r>
      <w:r>
        <w:rPr>
          <w:rFonts w:ascii="Arial" w:eastAsia="Times New Roman" w:hAnsi="Arial" w:cs="Arial"/>
          <w:color w:val="000000"/>
          <w:szCs w:val="24"/>
        </w:rPr>
        <w:t xml:space="preserve">, se determinó que la Unidad de </w:t>
      </w:r>
      <w:r>
        <w:rPr>
          <w:rFonts w:ascii="Arial" w:hAnsi="Arial" w:cs="Arial"/>
          <w:szCs w:val="24"/>
        </w:rPr>
        <w:t>Control y Seguimiento del Endeudamiento Público</w:t>
      </w:r>
      <w:r>
        <w:rPr>
          <w:rFonts w:ascii="Arial" w:eastAsia="Times New Roman" w:hAnsi="Arial" w:cs="Arial"/>
          <w:color w:val="000000"/>
          <w:szCs w:val="24"/>
        </w:rPr>
        <w:t xml:space="preserve"> no cuenta con </w:t>
      </w:r>
      <w:r w:rsidRPr="00DD17B0">
        <w:rPr>
          <w:rFonts w:ascii="Arial" w:eastAsia="Times New Roman" w:hAnsi="Arial" w:cs="Arial"/>
          <w:color w:val="000000"/>
          <w:szCs w:val="24"/>
        </w:rPr>
        <w:t xml:space="preserve">controles </w:t>
      </w:r>
      <w:r>
        <w:rPr>
          <w:rFonts w:ascii="Arial" w:eastAsia="Times New Roman" w:hAnsi="Arial" w:cs="Arial"/>
          <w:color w:val="000000"/>
          <w:szCs w:val="24"/>
        </w:rPr>
        <w:t xml:space="preserve">suficientes </w:t>
      </w:r>
      <w:r w:rsidRPr="00DD17B0">
        <w:rPr>
          <w:rFonts w:ascii="Arial" w:eastAsia="Times New Roman" w:hAnsi="Arial" w:cs="Arial"/>
          <w:color w:val="000000"/>
          <w:szCs w:val="24"/>
        </w:rPr>
        <w:t xml:space="preserve">que le permitan asegurar la confiabilidad de </w:t>
      </w:r>
      <w:bookmarkStart w:id="72" w:name="_Hlk128117124"/>
      <w:r w:rsidRPr="00DD17B0">
        <w:rPr>
          <w:rFonts w:ascii="Arial" w:eastAsia="Times New Roman" w:hAnsi="Arial" w:cs="Arial"/>
          <w:color w:val="000000"/>
          <w:szCs w:val="24"/>
        </w:rPr>
        <w:t>la información relacionada con</w:t>
      </w:r>
      <w:r>
        <w:rPr>
          <w:rFonts w:ascii="Arial" w:eastAsia="Times New Roman" w:hAnsi="Arial" w:cs="Arial"/>
          <w:color w:val="000000"/>
          <w:szCs w:val="24"/>
        </w:rPr>
        <w:t xml:space="preserve"> la determinación de pesos relativos concernientes al</w:t>
      </w:r>
      <w:r w:rsidRPr="00DD17B0">
        <w:rPr>
          <w:rFonts w:ascii="Arial" w:eastAsia="Times New Roman" w:hAnsi="Arial" w:cs="Arial"/>
          <w:color w:val="000000"/>
          <w:szCs w:val="24"/>
        </w:rPr>
        <w:t xml:space="preserve"> avance físico </w:t>
      </w:r>
      <w:bookmarkEnd w:id="72"/>
      <w:r w:rsidRPr="00DD17B0">
        <w:rPr>
          <w:rFonts w:ascii="Arial" w:eastAsia="Times New Roman" w:hAnsi="Arial" w:cs="Arial"/>
          <w:color w:val="000000"/>
          <w:szCs w:val="24"/>
        </w:rPr>
        <w:t>reportado por las Unidades Ejecutoras</w:t>
      </w:r>
      <w:r>
        <w:rPr>
          <w:rFonts w:ascii="Arial" w:eastAsia="Times New Roman" w:hAnsi="Arial" w:cs="Arial"/>
          <w:color w:val="000000"/>
          <w:szCs w:val="24"/>
        </w:rPr>
        <w:t>.</w:t>
      </w:r>
    </w:p>
    <w:p w14:paraId="28B2C915" w14:textId="77777777" w:rsidR="00DD17B0" w:rsidRDefault="00DD17B0" w:rsidP="009564AA">
      <w:pPr>
        <w:autoSpaceDE w:val="0"/>
        <w:autoSpaceDN w:val="0"/>
        <w:adjustRightInd w:val="0"/>
        <w:spacing w:after="0" w:line="240" w:lineRule="auto"/>
        <w:contextualSpacing/>
        <w:jc w:val="both"/>
        <w:rPr>
          <w:rFonts w:ascii="Arial" w:eastAsia="Times New Roman" w:hAnsi="Arial" w:cs="Arial"/>
          <w:color w:val="000000"/>
          <w:szCs w:val="24"/>
        </w:rPr>
      </w:pPr>
    </w:p>
    <w:p w14:paraId="6DD8E299" w14:textId="07AE2BB3" w:rsidR="009564AA" w:rsidRDefault="009A6A65" w:rsidP="009564AA">
      <w:pPr>
        <w:autoSpaceDE w:val="0"/>
        <w:autoSpaceDN w:val="0"/>
        <w:adjustRightInd w:val="0"/>
        <w:spacing w:after="0" w:line="240" w:lineRule="auto"/>
        <w:contextualSpacing/>
        <w:jc w:val="both"/>
        <w:rPr>
          <w:rFonts w:ascii="Arial" w:eastAsia="Times New Roman" w:hAnsi="Arial" w:cs="Arial"/>
          <w:color w:val="000000"/>
          <w:szCs w:val="24"/>
        </w:rPr>
      </w:pPr>
      <w:r>
        <w:rPr>
          <w:rFonts w:ascii="Arial" w:eastAsia="Times New Roman" w:hAnsi="Arial" w:cs="Arial"/>
          <w:color w:val="000000"/>
          <w:szCs w:val="24"/>
        </w:rPr>
        <w:t xml:space="preserve">Esto se debe a que </w:t>
      </w:r>
      <w:r w:rsidR="00DD17B0">
        <w:rPr>
          <w:rFonts w:ascii="Arial" w:eastAsia="Times New Roman" w:hAnsi="Arial" w:cs="Arial"/>
          <w:color w:val="000000"/>
          <w:szCs w:val="24"/>
        </w:rPr>
        <w:t xml:space="preserve">según la </w:t>
      </w:r>
      <w:r w:rsidR="00DD17B0" w:rsidRPr="005403EB">
        <w:rPr>
          <w:rFonts w:ascii="Arial" w:eastAsia="Times New Roman" w:hAnsi="Arial" w:cs="Arial"/>
          <w:i/>
          <w:color w:val="000000"/>
          <w:szCs w:val="24"/>
        </w:rPr>
        <w:t>“</w:t>
      </w:r>
      <w:bookmarkStart w:id="73" w:name="_Hlk128664494"/>
      <w:r w:rsidR="00DD17B0" w:rsidRPr="005403EB">
        <w:rPr>
          <w:rFonts w:ascii="Arial" w:eastAsia="Times New Roman" w:hAnsi="Arial" w:cs="Arial"/>
          <w:i/>
          <w:color w:val="000000"/>
          <w:szCs w:val="24"/>
        </w:rPr>
        <w:t>Metodología para el Seguimiento de Programas / Proyectos de Inversión Pública financiados con Endeudamiento Público</w:t>
      </w:r>
      <w:bookmarkEnd w:id="73"/>
      <w:r w:rsidR="00DD17B0" w:rsidRPr="005403EB">
        <w:rPr>
          <w:rFonts w:ascii="Arial" w:eastAsia="Times New Roman" w:hAnsi="Arial" w:cs="Arial"/>
          <w:i/>
          <w:color w:val="000000"/>
          <w:szCs w:val="24"/>
        </w:rPr>
        <w:t>”</w:t>
      </w:r>
      <w:r w:rsidR="00DD17B0">
        <w:rPr>
          <w:rFonts w:ascii="Arial" w:eastAsia="Times New Roman" w:hAnsi="Arial" w:cs="Arial"/>
          <w:i/>
          <w:color w:val="000000"/>
          <w:szCs w:val="24"/>
        </w:rPr>
        <w:t>,</w:t>
      </w:r>
      <w:r w:rsidR="00DD17B0">
        <w:rPr>
          <w:rFonts w:ascii="Arial" w:eastAsia="Times New Roman" w:hAnsi="Arial" w:cs="Arial"/>
          <w:color w:val="000000"/>
          <w:szCs w:val="24"/>
        </w:rPr>
        <w:t xml:space="preserve"> son las </w:t>
      </w:r>
      <w:r w:rsidR="0062245F">
        <w:rPr>
          <w:rFonts w:ascii="Arial" w:eastAsia="Times New Roman" w:hAnsi="Arial" w:cs="Arial"/>
          <w:color w:val="000000"/>
          <w:szCs w:val="24"/>
        </w:rPr>
        <w:t>U</w:t>
      </w:r>
      <w:r w:rsidR="00DD17B0">
        <w:rPr>
          <w:rFonts w:ascii="Arial" w:eastAsia="Times New Roman" w:hAnsi="Arial" w:cs="Arial"/>
          <w:color w:val="000000"/>
          <w:szCs w:val="24"/>
        </w:rPr>
        <w:t>nidades</w:t>
      </w:r>
      <w:r w:rsidR="0062245F">
        <w:rPr>
          <w:rFonts w:ascii="Arial" w:eastAsia="Times New Roman" w:hAnsi="Arial" w:cs="Arial"/>
          <w:color w:val="000000"/>
          <w:szCs w:val="24"/>
        </w:rPr>
        <w:t xml:space="preserve"> E</w:t>
      </w:r>
      <w:r w:rsidR="00DD17B0">
        <w:rPr>
          <w:rFonts w:ascii="Arial" w:eastAsia="Times New Roman" w:hAnsi="Arial" w:cs="Arial"/>
          <w:color w:val="000000"/>
          <w:szCs w:val="24"/>
        </w:rPr>
        <w:t>jecutoras</w:t>
      </w:r>
      <w:r w:rsidR="00DD17B0" w:rsidRPr="00B56181">
        <w:rPr>
          <w:rFonts w:ascii="Arial" w:eastAsia="Times New Roman" w:hAnsi="Arial" w:cs="Arial"/>
          <w:color w:val="000000"/>
          <w:szCs w:val="24"/>
        </w:rPr>
        <w:t xml:space="preserve"> </w:t>
      </w:r>
      <w:r w:rsidR="00DD17B0">
        <w:rPr>
          <w:rFonts w:ascii="Arial" w:eastAsia="Times New Roman" w:hAnsi="Arial" w:cs="Arial"/>
          <w:color w:val="000000"/>
          <w:szCs w:val="24"/>
        </w:rPr>
        <w:t>quienes</w:t>
      </w:r>
      <w:r w:rsidR="00DD17B0" w:rsidRPr="00B56181">
        <w:rPr>
          <w:rFonts w:ascii="Arial" w:eastAsia="Times New Roman" w:hAnsi="Arial" w:cs="Arial"/>
          <w:color w:val="000000"/>
          <w:szCs w:val="24"/>
        </w:rPr>
        <w:t xml:space="preserve"> </w:t>
      </w:r>
      <w:r w:rsidR="00DD17B0">
        <w:rPr>
          <w:rFonts w:ascii="Arial" w:eastAsia="Times New Roman" w:hAnsi="Arial" w:cs="Arial"/>
          <w:color w:val="000000"/>
          <w:szCs w:val="24"/>
        </w:rPr>
        <w:t>deciden</w:t>
      </w:r>
      <w:r w:rsidR="00DD17B0" w:rsidRPr="00B56181">
        <w:rPr>
          <w:rFonts w:ascii="Arial" w:eastAsia="Times New Roman" w:hAnsi="Arial" w:cs="Arial"/>
          <w:color w:val="000000"/>
          <w:szCs w:val="24"/>
        </w:rPr>
        <w:t xml:space="preserve"> la forma o método para establecer los pesos relativo</w:t>
      </w:r>
      <w:r w:rsidR="00DD17B0">
        <w:rPr>
          <w:rFonts w:ascii="Arial" w:eastAsia="Times New Roman" w:hAnsi="Arial" w:cs="Arial"/>
          <w:color w:val="000000"/>
          <w:szCs w:val="24"/>
        </w:rPr>
        <w:t>s</w:t>
      </w:r>
      <w:r w:rsidR="00DD17B0" w:rsidRPr="00B56181">
        <w:rPr>
          <w:rFonts w:ascii="Arial" w:eastAsia="Times New Roman" w:hAnsi="Arial" w:cs="Arial"/>
          <w:color w:val="000000"/>
          <w:szCs w:val="24"/>
        </w:rPr>
        <w:t xml:space="preserve"> </w:t>
      </w:r>
      <w:r w:rsidR="00DD17B0">
        <w:rPr>
          <w:rFonts w:ascii="Arial" w:eastAsia="Times New Roman" w:hAnsi="Arial" w:cs="Arial"/>
          <w:color w:val="000000"/>
          <w:szCs w:val="24"/>
        </w:rPr>
        <w:t>de los componentes de</w:t>
      </w:r>
      <w:r w:rsidR="00DD17B0" w:rsidRPr="00B56181">
        <w:rPr>
          <w:rFonts w:ascii="Arial" w:eastAsia="Times New Roman" w:hAnsi="Arial" w:cs="Arial"/>
          <w:color w:val="000000"/>
          <w:szCs w:val="24"/>
        </w:rPr>
        <w:t xml:space="preserve"> los programas</w:t>
      </w:r>
      <w:r w:rsidR="00DD17B0">
        <w:rPr>
          <w:rFonts w:ascii="Arial" w:eastAsia="Times New Roman" w:hAnsi="Arial" w:cs="Arial"/>
          <w:color w:val="000000"/>
          <w:szCs w:val="24"/>
        </w:rPr>
        <w:t xml:space="preserve"> o </w:t>
      </w:r>
      <w:r w:rsidR="00DD17B0" w:rsidRPr="00B56181">
        <w:rPr>
          <w:rFonts w:ascii="Arial" w:eastAsia="Times New Roman" w:hAnsi="Arial" w:cs="Arial"/>
          <w:color w:val="000000"/>
          <w:szCs w:val="24"/>
        </w:rPr>
        <w:t>proyectos</w:t>
      </w:r>
      <w:r>
        <w:rPr>
          <w:rFonts w:ascii="Arial" w:eastAsia="Times New Roman" w:hAnsi="Arial" w:cs="Arial"/>
          <w:color w:val="000000"/>
          <w:szCs w:val="24"/>
        </w:rPr>
        <w:t xml:space="preserve">. </w:t>
      </w:r>
      <w:r w:rsidR="007D3030">
        <w:rPr>
          <w:rFonts w:ascii="Arial" w:eastAsia="Times New Roman" w:hAnsi="Arial" w:cs="Arial"/>
          <w:color w:val="000000"/>
          <w:szCs w:val="24"/>
        </w:rPr>
        <w:t>Sin embargo,</w:t>
      </w:r>
      <w:r>
        <w:rPr>
          <w:rFonts w:ascii="Arial" w:eastAsia="Times New Roman" w:hAnsi="Arial" w:cs="Arial"/>
          <w:color w:val="000000"/>
          <w:szCs w:val="24"/>
        </w:rPr>
        <w:t xml:space="preserve"> </w:t>
      </w:r>
      <w:r w:rsidR="009564AA" w:rsidRPr="00B56181">
        <w:rPr>
          <w:rFonts w:ascii="Arial" w:eastAsia="Times New Roman" w:hAnsi="Arial" w:cs="Arial"/>
          <w:color w:val="000000"/>
          <w:szCs w:val="24"/>
        </w:rPr>
        <w:t xml:space="preserve">no se </w:t>
      </w:r>
      <w:r w:rsidR="009564AA">
        <w:rPr>
          <w:rFonts w:ascii="Arial" w:eastAsia="Times New Roman" w:hAnsi="Arial" w:cs="Arial"/>
          <w:color w:val="000000"/>
          <w:szCs w:val="24"/>
        </w:rPr>
        <w:t xml:space="preserve">ha establecido formalmente </w:t>
      </w:r>
      <w:r w:rsidR="0062245F">
        <w:rPr>
          <w:rFonts w:ascii="Arial" w:eastAsia="Times New Roman" w:hAnsi="Arial" w:cs="Arial"/>
          <w:color w:val="000000"/>
          <w:szCs w:val="24"/>
        </w:rPr>
        <w:t>que dichas</w:t>
      </w:r>
      <w:r w:rsidR="00DD17B0">
        <w:rPr>
          <w:rFonts w:ascii="Arial" w:eastAsia="Times New Roman" w:hAnsi="Arial" w:cs="Arial"/>
          <w:color w:val="000000"/>
          <w:szCs w:val="24"/>
        </w:rPr>
        <w:t xml:space="preserve"> </w:t>
      </w:r>
      <w:r w:rsidR="0062245F">
        <w:rPr>
          <w:rFonts w:ascii="Arial" w:eastAsia="Times New Roman" w:hAnsi="Arial" w:cs="Arial"/>
          <w:color w:val="000000"/>
          <w:szCs w:val="24"/>
        </w:rPr>
        <w:t>U</w:t>
      </w:r>
      <w:r w:rsidR="009564AA">
        <w:rPr>
          <w:rFonts w:ascii="Arial" w:eastAsia="Times New Roman" w:hAnsi="Arial" w:cs="Arial"/>
          <w:color w:val="000000"/>
          <w:szCs w:val="24"/>
        </w:rPr>
        <w:t xml:space="preserve">nidades </w:t>
      </w:r>
      <w:r w:rsidR="0062245F">
        <w:rPr>
          <w:rFonts w:ascii="Arial" w:eastAsia="Times New Roman" w:hAnsi="Arial" w:cs="Arial"/>
          <w:color w:val="000000"/>
          <w:szCs w:val="24"/>
        </w:rPr>
        <w:t>E</w:t>
      </w:r>
      <w:r w:rsidR="009564AA">
        <w:rPr>
          <w:rFonts w:ascii="Arial" w:eastAsia="Times New Roman" w:hAnsi="Arial" w:cs="Arial"/>
          <w:color w:val="000000"/>
          <w:szCs w:val="24"/>
        </w:rPr>
        <w:t>jecutoras, deban</w:t>
      </w:r>
      <w:r w:rsidR="009564AA" w:rsidRPr="00B56181">
        <w:rPr>
          <w:rFonts w:ascii="Arial" w:eastAsia="Times New Roman" w:hAnsi="Arial" w:cs="Arial"/>
          <w:color w:val="000000"/>
          <w:szCs w:val="24"/>
        </w:rPr>
        <w:t xml:space="preserve"> informar </w:t>
      </w:r>
      <w:r w:rsidR="009564AA">
        <w:rPr>
          <w:rFonts w:ascii="Arial" w:eastAsia="Times New Roman" w:hAnsi="Arial" w:cs="Arial"/>
          <w:color w:val="000000"/>
          <w:szCs w:val="24"/>
        </w:rPr>
        <w:t>a la Dirección de Crédito Público</w:t>
      </w:r>
      <w:r>
        <w:rPr>
          <w:rFonts w:ascii="Arial" w:eastAsia="Times New Roman" w:hAnsi="Arial" w:cs="Arial"/>
          <w:color w:val="000000"/>
          <w:szCs w:val="24"/>
        </w:rPr>
        <w:t>,</w:t>
      </w:r>
      <w:r w:rsidR="009564AA">
        <w:rPr>
          <w:rFonts w:ascii="Arial" w:eastAsia="Times New Roman" w:hAnsi="Arial" w:cs="Arial"/>
          <w:color w:val="000000"/>
          <w:szCs w:val="24"/>
        </w:rPr>
        <w:t xml:space="preserve"> el </w:t>
      </w:r>
      <w:r w:rsidR="009564AA" w:rsidRPr="00B56181">
        <w:rPr>
          <w:rFonts w:ascii="Arial" w:eastAsia="Times New Roman" w:hAnsi="Arial" w:cs="Arial"/>
          <w:color w:val="000000"/>
          <w:szCs w:val="24"/>
        </w:rPr>
        <w:t>método</w:t>
      </w:r>
      <w:r w:rsidR="009564AA" w:rsidRPr="006B4856">
        <w:rPr>
          <w:rFonts w:ascii="Arial" w:eastAsia="Times New Roman" w:hAnsi="Arial" w:cs="Arial"/>
          <w:color w:val="000000"/>
          <w:szCs w:val="24"/>
        </w:rPr>
        <w:t xml:space="preserve"> </w:t>
      </w:r>
      <w:r w:rsidR="009564AA">
        <w:rPr>
          <w:rFonts w:ascii="Arial" w:eastAsia="Times New Roman" w:hAnsi="Arial" w:cs="Arial"/>
          <w:color w:val="000000"/>
          <w:szCs w:val="24"/>
        </w:rPr>
        <w:t xml:space="preserve">en el que se basa la </w:t>
      </w:r>
      <w:r w:rsidR="009564AA" w:rsidRPr="00055747">
        <w:rPr>
          <w:rFonts w:ascii="Arial" w:eastAsia="Times New Roman" w:hAnsi="Arial" w:cs="Arial"/>
          <w:color w:val="000000"/>
          <w:szCs w:val="24"/>
        </w:rPr>
        <w:t xml:space="preserve">determinación </w:t>
      </w:r>
      <w:r w:rsidR="00F549AE" w:rsidRPr="00055747">
        <w:rPr>
          <w:rFonts w:ascii="Arial" w:eastAsia="Times New Roman" w:hAnsi="Arial" w:cs="Arial"/>
          <w:color w:val="000000"/>
          <w:szCs w:val="24"/>
        </w:rPr>
        <w:t xml:space="preserve">de los pesos relativos </w:t>
      </w:r>
      <w:r w:rsidR="00DA5B7A" w:rsidRPr="00055747">
        <w:rPr>
          <w:rFonts w:ascii="Arial" w:eastAsia="Times New Roman" w:hAnsi="Arial" w:cs="Arial"/>
          <w:color w:val="000000"/>
          <w:szCs w:val="24"/>
        </w:rPr>
        <w:t>para conformar</w:t>
      </w:r>
      <w:r w:rsidR="00DA5B7A">
        <w:rPr>
          <w:rFonts w:ascii="Arial" w:eastAsia="Times New Roman" w:hAnsi="Arial" w:cs="Arial"/>
          <w:color w:val="000000"/>
          <w:szCs w:val="24"/>
        </w:rPr>
        <w:t xml:space="preserve"> el </w:t>
      </w:r>
      <w:r w:rsidR="009564AA" w:rsidRPr="00B56181">
        <w:rPr>
          <w:rFonts w:ascii="Arial" w:eastAsia="Times New Roman" w:hAnsi="Arial" w:cs="Arial"/>
          <w:color w:val="000000"/>
          <w:szCs w:val="24"/>
        </w:rPr>
        <w:t>avance físico</w:t>
      </w:r>
      <w:r w:rsidR="009564AA">
        <w:rPr>
          <w:rFonts w:ascii="Arial" w:eastAsia="Times New Roman" w:hAnsi="Arial" w:cs="Arial"/>
          <w:color w:val="000000"/>
          <w:szCs w:val="24"/>
        </w:rPr>
        <w:t xml:space="preserve"> de dicho</w:t>
      </w:r>
      <w:r w:rsidR="00892050">
        <w:rPr>
          <w:rFonts w:ascii="Arial" w:eastAsia="Times New Roman" w:hAnsi="Arial" w:cs="Arial"/>
          <w:color w:val="000000"/>
          <w:szCs w:val="24"/>
        </w:rPr>
        <w:t>s</w:t>
      </w:r>
      <w:r w:rsidR="009564AA">
        <w:rPr>
          <w:rFonts w:ascii="Arial" w:eastAsia="Times New Roman" w:hAnsi="Arial" w:cs="Arial"/>
          <w:color w:val="000000"/>
          <w:szCs w:val="24"/>
        </w:rPr>
        <w:t xml:space="preserve"> programas o proyectos</w:t>
      </w:r>
      <w:r w:rsidR="00892050">
        <w:rPr>
          <w:rFonts w:ascii="Arial" w:eastAsia="Times New Roman" w:hAnsi="Arial" w:cs="Arial"/>
          <w:color w:val="000000"/>
          <w:szCs w:val="24"/>
        </w:rPr>
        <w:t>,</w:t>
      </w:r>
      <w:r w:rsidR="00DD17B0">
        <w:rPr>
          <w:rFonts w:ascii="Arial" w:eastAsia="Times New Roman" w:hAnsi="Arial" w:cs="Arial"/>
          <w:color w:val="000000"/>
          <w:szCs w:val="24"/>
        </w:rPr>
        <w:t xml:space="preserve"> ni las modificaciones que se pudieran realizar a ese método</w:t>
      </w:r>
      <w:r w:rsidR="009564AA">
        <w:rPr>
          <w:rFonts w:ascii="Arial" w:eastAsia="Times New Roman" w:hAnsi="Arial" w:cs="Arial"/>
          <w:color w:val="000000"/>
          <w:szCs w:val="24"/>
        </w:rPr>
        <w:t>.</w:t>
      </w:r>
    </w:p>
    <w:p w14:paraId="3479FBB9" w14:textId="77777777" w:rsidR="00F31475" w:rsidRDefault="00F31475" w:rsidP="00275D5A">
      <w:pPr>
        <w:autoSpaceDE w:val="0"/>
        <w:autoSpaceDN w:val="0"/>
        <w:adjustRightInd w:val="0"/>
        <w:spacing w:after="0" w:line="240" w:lineRule="auto"/>
        <w:contextualSpacing/>
        <w:jc w:val="both"/>
        <w:rPr>
          <w:rFonts w:ascii="Arial" w:eastAsia="Times New Roman" w:hAnsi="Arial" w:cs="Arial"/>
          <w:color w:val="000000"/>
          <w:szCs w:val="24"/>
        </w:rPr>
      </w:pPr>
    </w:p>
    <w:p w14:paraId="46BAB0AA" w14:textId="13E9A37F" w:rsidR="00F31475" w:rsidRDefault="00F31475" w:rsidP="00275D5A">
      <w:pPr>
        <w:autoSpaceDE w:val="0"/>
        <w:autoSpaceDN w:val="0"/>
        <w:adjustRightInd w:val="0"/>
        <w:spacing w:after="0" w:line="240" w:lineRule="auto"/>
        <w:contextualSpacing/>
        <w:jc w:val="both"/>
        <w:rPr>
          <w:rFonts w:ascii="Arial" w:eastAsia="Times New Roman" w:hAnsi="Arial" w:cs="Arial"/>
          <w:color w:val="000000"/>
          <w:szCs w:val="24"/>
        </w:rPr>
      </w:pPr>
      <w:r w:rsidRPr="00B56181">
        <w:rPr>
          <w:rFonts w:ascii="Arial" w:eastAsia="Times New Roman" w:hAnsi="Arial" w:cs="Arial"/>
          <w:color w:val="000000"/>
          <w:szCs w:val="24"/>
        </w:rPr>
        <w:lastRenderedPageBreak/>
        <w:t>Lo señalado anteriormente</w:t>
      </w:r>
      <w:r w:rsidR="003F568E">
        <w:rPr>
          <w:rFonts w:ascii="Arial" w:eastAsia="Times New Roman" w:hAnsi="Arial" w:cs="Arial"/>
          <w:color w:val="000000"/>
          <w:szCs w:val="24"/>
        </w:rPr>
        <w:t>,</w:t>
      </w:r>
      <w:r w:rsidRPr="00B56181">
        <w:rPr>
          <w:rFonts w:ascii="Arial" w:eastAsia="Times New Roman" w:hAnsi="Arial" w:cs="Arial"/>
          <w:color w:val="000000"/>
          <w:szCs w:val="24"/>
        </w:rPr>
        <w:t xml:space="preserve"> incrementa el riesgo que la información pued</w:t>
      </w:r>
      <w:r w:rsidR="006E523A">
        <w:rPr>
          <w:rFonts w:ascii="Arial" w:eastAsia="Times New Roman" w:hAnsi="Arial" w:cs="Arial"/>
          <w:color w:val="000000"/>
          <w:szCs w:val="24"/>
        </w:rPr>
        <w:t>a</w:t>
      </w:r>
      <w:r w:rsidRPr="00B56181">
        <w:rPr>
          <w:rFonts w:ascii="Arial" w:eastAsia="Times New Roman" w:hAnsi="Arial" w:cs="Arial"/>
          <w:color w:val="000000"/>
          <w:szCs w:val="24"/>
        </w:rPr>
        <w:t xml:space="preserve"> contener errores, defectos, omisiones y modificaciones no autorizadas</w:t>
      </w:r>
      <w:r w:rsidR="006E523A">
        <w:rPr>
          <w:rFonts w:ascii="Arial" w:eastAsia="Times New Roman" w:hAnsi="Arial" w:cs="Arial"/>
          <w:color w:val="000000"/>
          <w:szCs w:val="24"/>
        </w:rPr>
        <w:t>,</w:t>
      </w:r>
      <w:r w:rsidRPr="00B56181">
        <w:rPr>
          <w:rFonts w:ascii="Arial" w:eastAsia="Times New Roman" w:hAnsi="Arial" w:cs="Arial"/>
          <w:color w:val="000000"/>
          <w:szCs w:val="24"/>
        </w:rPr>
        <w:t xml:space="preserve"> </w:t>
      </w:r>
      <w:r w:rsidR="003F568E">
        <w:rPr>
          <w:rFonts w:ascii="Arial" w:eastAsia="Times New Roman" w:hAnsi="Arial" w:cs="Arial"/>
          <w:color w:val="000000"/>
          <w:szCs w:val="24"/>
        </w:rPr>
        <w:t xml:space="preserve">por cuanto no se tiene un documento formal mediante el cual se pueda conocer lo actuado por las unidades ejecutoras, </w:t>
      </w:r>
      <w:r w:rsidRPr="00B56181">
        <w:rPr>
          <w:rFonts w:ascii="Arial" w:eastAsia="Times New Roman" w:hAnsi="Arial" w:cs="Arial"/>
          <w:color w:val="000000"/>
          <w:szCs w:val="24"/>
        </w:rPr>
        <w:t xml:space="preserve">lo cual </w:t>
      </w:r>
      <w:r w:rsidR="001958B7">
        <w:rPr>
          <w:rFonts w:ascii="Arial" w:eastAsia="Times New Roman" w:hAnsi="Arial" w:cs="Arial"/>
          <w:color w:val="000000"/>
          <w:szCs w:val="24"/>
        </w:rPr>
        <w:t>afecta</w:t>
      </w:r>
      <w:r w:rsidRPr="00B56181">
        <w:rPr>
          <w:rFonts w:ascii="Arial" w:eastAsia="Times New Roman" w:hAnsi="Arial" w:cs="Arial"/>
          <w:color w:val="000000"/>
          <w:szCs w:val="24"/>
        </w:rPr>
        <w:t xml:space="preserve"> </w:t>
      </w:r>
      <w:r w:rsidR="004414AC">
        <w:rPr>
          <w:rFonts w:ascii="Arial" w:eastAsia="Times New Roman" w:hAnsi="Arial" w:cs="Arial"/>
          <w:color w:val="000000"/>
          <w:szCs w:val="24"/>
        </w:rPr>
        <w:t xml:space="preserve">el respaldo para </w:t>
      </w:r>
      <w:r w:rsidRPr="00B56181">
        <w:rPr>
          <w:rFonts w:ascii="Arial" w:eastAsia="Times New Roman" w:hAnsi="Arial" w:cs="Arial"/>
          <w:color w:val="000000"/>
          <w:szCs w:val="24"/>
        </w:rPr>
        <w:t>la toma de decisiones relacionadas con la cartera de créditos de inversión en ejecución</w:t>
      </w:r>
      <w:r w:rsidR="007E1787">
        <w:rPr>
          <w:rFonts w:ascii="Arial" w:eastAsia="Times New Roman" w:hAnsi="Arial" w:cs="Arial"/>
          <w:color w:val="000000"/>
          <w:szCs w:val="24"/>
        </w:rPr>
        <w:t>.</w:t>
      </w:r>
    </w:p>
    <w:p w14:paraId="0318360A" w14:textId="77777777" w:rsidR="00B56181" w:rsidRDefault="00B56181" w:rsidP="00B56181">
      <w:pPr>
        <w:autoSpaceDE w:val="0"/>
        <w:autoSpaceDN w:val="0"/>
        <w:adjustRightInd w:val="0"/>
        <w:spacing w:after="0" w:line="240" w:lineRule="auto"/>
        <w:contextualSpacing/>
        <w:jc w:val="both"/>
        <w:rPr>
          <w:rFonts w:ascii="Arial" w:eastAsia="Times New Roman" w:hAnsi="Arial" w:cs="Arial"/>
          <w:color w:val="000000"/>
          <w:szCs w:val="24"/>
        </w:rPr>
      </w:pPr>
    </w:p>
    <w:p w14:paraId="2227B6CC" w14:textId="3317A68D" w:rsidR="00824352" w:rsidRPr="0036300F" w:rsidRDefault="00A11F5B" w:rsidP="008711A9">
      <w:pPr>
        <w:pStyle w:val="Ttulo1"/>
        <w:keepNext w:val="0"/>
        <w:keepLines w:val="0"/>
        <w:numPr>
          <w:ilvl w:val="1"/>
          <w:numId w:val="21"/>
        </w:numPr>
        <w:spacing w:before="0" w:after="0"/>
        <w:ind w:left="709" w:hanging="709"/>
        <w:contextualSpacing/>
        <w:jc w:val="both"/>
        <w:rPr>
          <w:rFonts w:ascii="Arial" w:hAnsi="Arial" w:cs="Arial"/>
          <w:b/>
          <w:bCs/>
          <w:color w:val="44546A" w:themeColor="text2"/>
          <w:kern w:val="28"/>
          <w:sz w:val="24"/>
          <w:szCs w:val="24"/>
          <w:lang w:eastAsia="es-ES"/>
        </w:rPr>
      </w:pPr>
      <w:bookmarkStart w:id="74" w:name="_Toc131075271"/>
      <w:bookmarkStart w:id="75" w:name="_Toc390783338"/>
      <w:bookmarkEnd w:id="70"/>
      <w:r w:rsidRPr="0036300F">
        <w:rPr>
          <w:rFonts w:ascii="Arial" w:hAnsi="Arial" w:cs="Arial"/>
          <w:b/>
          <w:bCs/>
          <w:color w:val="44546A" w:themeColor="text2"/>
          <w:kern w:val="28"/>
          <w:sz w:val="24"/>
          <w:szCs w:val="24"/>
          <w:lang w:eastAsia="es-ES"/>
        </w:rPr>
        <w:t xml:space="preserve">Sobre la documentación que respalda </w:t>
      </w:r>
      <w:r w:rsidR="001B00C5" w:rsidRPr="0036300F">
        <w:rPr>
          <w:rFonts w:ascii="Arial" w:hAnsi="Arial" w:cs="Arial"/>
          <w:b/>
          <w:bCs/>
          <w:color w:val="44546A" w:themeColor="text2"/>
          <w:kern w:val="28"/>
          <w:sz w:val="24"/>
          <w:szCs w:val="24"/>
          <w:lang w:eastAsia="es-ES"/>
        </w:rPr>
        <w:t xml:space="preserve">el proceso </w:t>
      </w:r>
      <w:r w:rsidR="00855E54" w:rsidRPr="0036300F">
        <w:rPr>
          <w:rFonts w:ascii="Arial" w:hAnsi="Arial" w:cs="Arial"/>
          <w:b/>
          <w:bCs/>
          <w:color w:val="44546A" w:themeColor="text2"/>
          <w:kern w:val="28"/>
          <w:sz w:val="24"/>
          <w:szCs w:val="24"/>
          <w:lang w:eastAsia="es-ES"/>
        </w:rPr>
        <w:t xml:space="preserve">conciliación de los </w:t>
      </w:r>
      <w:r w:rsidR="001B00C5" w:rsidRPr="0036300F">
        <w:rPr>
          <w:rFonts w:ascii="Arial" w:hAnsi="Arial" w:cs="Arial"/>
          <w:b/>
          <w:bCs/>
          <w:color w:val="44546A" w:themeColor="text2"/>
          <w:kern w:val="28"/>
          <w:sz w:val="24"/>
          <w:szCs w:val="24"/>
          <w:lang w:eastAsia="es-ES"/>
        </w:rPr>
        <w:t>desembolsos</w:t>
      </w:r>
      <w:bookmarkEnd w:id="74"/>
    </w:p>
    <w:p w14:paraId="689C77E3" w14:textId="77777777" w:rsidR="005029B3" w:rsidRDefault="005029B3" w:rsidP="00B56181">
      <w:pPr>
        <w:autoSpaceDE w:val="0"/>
        <w:autoSpaceDN w:val="0"/>
        <w:adjustRightInd w:val="0"/>
        <w:spacing w:after="0" w:line="240" w:lineRule="auto"/>
        <w:jc w:val="both"/>
        <w:rPr>
          <w:rFonts w:ascii="Arial" w:hAnsi="Arial" w:cs="Arial"/>
          <w:color w:val="000000"/>
          <w:szCs w:val="20"/>
        </w:rPr>
      </w:pPr>
    </w:p>
    <w:p w14:paraId="55B0401E" w14:textId="77777777" w:rsidR="00B56181" w:rsidRPr="00B56181" w:rsidRDefault="00B56181" w:rsidP="00B56181">
      <w:pPr>
        <w:autoSpaceDE w:val="0"/>
        <w:autoSpaceDN w:val="0"/>
        <w:adjustRightInd w:val="0"/>
        <w:spacing w:after="0" w:line="240" w:lineRule="auto"/>
        <w:jc w:val="both"/>
        <w:rPr>
          <w:rFonts w:ascii="Arial" w:hAnsi="Arial" w:cs="Arial"/>
          <w:color w:val="000000"/>
          <w:szCs w:val="20"/>
        </w:rPr>
      </w:pPr>
      <w:r w:rsidRPr="00B56181">
        <w:rPr>
          <w:rFonts w:ascii="Arial" w:hAnsi="Arial" w:cs="Arial"/>
          <w:color w:val="000000"/>
          <w:szCs w:val="20"/>
        </w:rPr>
        <w:t xml:space="preserve">Las Normas de control interno para el Sector Público, en su numeral </w:t>
      </w:r>
      <w:r>
        <w:rPr>
          <w:rFonts w:ascii="Arial" w:hAnsi="Arial" w:cs="Arial"/>
          <w:color w:val="000000"/>
          <w:szCs w:val="20"/>
        </w:rPr>
        <w:t xml:space="preserve">4.2 </w:t>
      </w:r>
      <w:r w:rsidRPr="00B56181">
        <w:rPr>
          <w:rFonts w:ascii="Arial" w:hAnsi="Arial" w:cs="Arial"/>
          <w:color w:val="000000"/>
          <w:szCs w:val="20"/>
        </w:rPr>
        <w:t xml:space="preserve">Requisitos de las </w:t>
      </w:r>
    </w:p>
    <w:p w14:paraId="65989404" w14:textId="77777777" w:rsidR="00B56181" w:rsidRPr="00B56181" w:rsidRDefault="00B56181" w:rsidP="00B56181">
      <w:pPr>
        <w:autoSpaceDE w:val="0"/>
        <w:autoSpaceDN w:val="0"/>
        <w:adjustRightInd w:val="0"/>
        <w:spacing w:after="0" w:line="240" w:lineRule="auto"/>
        <w:jc w:val="both"/>
        <w:rPr>
          <w:rFonts w:ascii="Arial" w:hAnsi="Arial" w:cs="Arial"/>
          <w:color w:val="000000"/>
          <w:szCs w:val="20"/>
        </w:rPr>
      </w:pPr>
      <w:r w:rsidRPr="00B56181">
        <w:rPr>
          <w:rFonts w:ascii="Arial" w:hAnsi="Arial" w:cs="Arial"/>
          <w:color w:val="000000"/>
          <w:szCs w:val="20"/>
        </w:rPr>
        <w:t>actividades de control, inciso e) señala</w:t>
      </w:r>
      <w:r w:rsidR="00190EE4">
        <w:rPr>
          <w:rFonts w:ascii="Arial" w:hAnsi="Arial" w:cs="Arial"/>
          <w:color w:val="000000"/>
          <w:szCs w:val="20"/>
        </w:rPr>
        <w:t>n</w:t>
      </w:r>
      <w:r w:rsidRPr="00B56181">
        <w:rPr>
          <w:rFonts w:ascii="Arial" w:hAnsi="Arial" w:cs="Arial"/>
          <w:color w:val="000000"/>
          <w:szCs w:val="20"/>
        </w:rPr>
        <w:t xml:space="preserve"> lo siguiente: </w:t>
      </w:r>
    </w:p>
    <w:p w14:paraId="2973447B" w14:textId="77777777" w:rsidR="008A4CAE" w:rsidRDefault="008A4CAE" w:rsidP="00E42A76">
      <w:pPr>
        <w:autoSpaceDE w:val="0"/>
        <w:autoSpaceDN w:val="0"/>
        <w:adjustRightInd w:val="0"/>
        <w:spacing w:after="0" w:line="240" w:lineRule="auto"/>
        <w:ind w:left="708"/>
        <w:contextualSpacing/>
        <w:jc w:val="both"/>
        <w:rPr>
          <w:rFonts w:ascii="Arial" w:eastAsia="Times New Roman" w:hAnsi="Arial" w:cs="Arial"/>
          <w:i/>
          <w:color w:val="000000"/>
          <w:szCs w:val="24"/>
        </w:rPr>
      </w:pPr>
    </w:p>
    <w:p w14:paraId="4616F328" w14:textId="77777777" w:rsidR="006C445D" w:rsidRPr="00AE7933" w:rsidRDefault="00B56181" w:rsidP="00120CD8">
      <w:pPr>
        <w:autoSpaceDE w:val="0"/>
        <w:autoSpaceDN w:val="0"/>
        <w:adjustRightInd w:val="0"/>
        <w:spacing w:after="0" w:line="240" w:lineRule="auto"/>
        <w:ind w:left="708" w:right="616"/>
        <w:contextualSpacing/>
        <w:jc w:val="both"/>
        <w:rPr>
          <w:rFonts w:ascii="Arial" w:eastAsia="Times New Roman" w:hAnsi="Arial" w:cs="Arial"/>
          <w:i/>
          <w:color w:val="000000"/>
          <w:szCs w:val="24"/>
        </w:rPr>
      </w:pPr>
      <w:r w:rsidRPr="00120CD8">
        <w:rPr>
          <w:rFonts w:ascii="Arial" w:eastAsia="Times New Roman" w:hAnsi="Arial" w:cs="Arial"/>
          <w:b/>
          <w:i/>
          <w:color w:val="000000"/>
          <w:szCs w:val="24"/>
        </w:rPr>
        <w:t>“</w:t>
      </w:r>
      <w:r w:rsidR="00120CD8" w:rsidRPr="00120CD8">
        <w:rPr>
          <w:rFonts w:ascii="Arial" w:eastAsia="Times New Roman" w:hAnsi="Arial" w:cs="Arial"/>
          <w:b/>
          <w:i/>
          <w:color w:val="000000"/>
          <w:szCs w:val="24"/>
        </w:rPr>
        <w:t>e)</w:t>
      </w:r>
      <w:r w:rsidR="00120CD8">
        <w:rPr>
          <w:rFonts w:ascii="Arial" w:eastAsia="Times New Roman" w:hAnsi="Arial" w:cs="Arial"/>
          <w:i/>
          <w:color w:val="000000"/>
          <w:szCs w:val="24"/>
        </w:rPr>
        <w:t xml:space="preserve"> </w:t>
      </w:r>
      <w:r w:rsidRPr="00B56181">
        <w:rPr>
          <w:rFonts w:ascii="Arial" w:eastAsia="Times New Roman" w:hAnsi="Arial" w:cs="Arial"/>
          <w:b/>
          <w:i/>
          <w:color w:val="000000"/>
          <w:szCs w:val="24"/>
        </w:rPr>
        <w:t>Documentación.</w:t>
      </w:r>
      <w:r w:rsidRPr="00B56181">
        <w:rPr>
          <w:rFonts w:ascii="Arial" w:eastAsia="Times New Roman" w:hAnsi="Arial" w:cs="Arial"/>
          <w:i/>
          <w:color w:val="000000"/>
          <w:szCs w:val="24"/>
        </w:rPr>
        <w:t xml:space="preserve"> Las actividades de control deben documentarse mediante su incorporación en los manuales de procedimientos, en las descripciones de puestos y procesos, o en documentos de naturaleza similar. Esa documentación debe estar disponible, en forma ordenada conforme a criterios previamente establecidos, para su uso, consulta y evaluación</w:t>
      </w:r>
      <w:r w:rsidR="00AE7933" w:rsidRPr="00AE7933">
        <w:rPr>
          <w:rFonts w:ascii="Arial" w:eastAsia="Times New Roman" w:hAnsi="Arial" w:cs="Arial"/>
          <w:i/>
          <w:color w:val="000000"/>
          <w:szCs w:val="24"/>
        </w:rPr>
        <w:t>.</w:t>
      </w:r>
      <w:r w:rsidR="00E42A76">
        <w:rPr>
          <w:rFonts w:ascii="Arial" w:eastAsia="Times New Roman" w:hAnsi="Arial" w:cs="Arial"/>
          <w:i/>
          <w:color w:val="000000"/>
          <w:szCs w:val="24"/>
        </w:rPr>
        <w:t>”</w:t>
      </w:r>
    </w:p>
    <w:bookmarkEnd w:id="75"/>
    <w:p w14:paraId="797B2284" w14:textId="77777777" w:rsidR="00A11F5B" w:rsidRDefault="00A11F5B" w:rsidP="00A11F5B">
      <w:pPr>
        <w:spacing w:after="0" w:line="240" w:lineRule="auto"/>
        <w:ind w:right="22"/>
        <w:contextualSpacing/>
        <w:jc w:val="both"/>
        <w:rPr>
          <w:rFonts w:ascii="Arial" w:hAnsi="Arial" w:cs="Arial"/>
          <w:szCs w:val="24"/>
        </w:rPr>
      </w:pPr>
    </w:p>
    <w:p w14:paraId="30D2C025" w14:textId="7DC1B65D" w:rsidR="001B00C5" w:rsidRDefault="000A389C" w:rsidP="001B00C5">
      <w:pPr>
        <w:spacing w:after="0" w:line="240" w:lineRule="auto"/>
        <w:ind w:right="22"/>
        <w:contextualSpacing/>
        <w:jc w:val="both"/>
        <w:rPr>
          <w:rFonts w:ascii="Arial" w:hAnsi="Arial" w:cs="Arial"/>
          <w:szCs w:val="24"/>
        </w:rPr>
      </w:pPr>
      <w:r>
        <w:rPr>
          <w:rFonts w:ascii="Arial" w:hAnsi="Arial" w:cs="Arial"/>
          <w:szCs w:val="24"/>
        </w:rPr>
        <w:t>En este sentido, l</w:t>
      </w:r>
      <w:r w:rsidR="001B00C5">
        <w:rPr>
          <w:rFonts w:ascii="Arial" w:hAnsi="Arial" w:cs="Arial"/>
          <w:szCs w:val="24"/>
        </w:rPr>
        <w:t>a Unidad de Control y Seguimiento del Endeudamiento Público emite informes de s</w:t>
      </w:r>
      <w:r w:rsidR="001B00C5" w:rsidRPr="00CD2A18">
        <w:rPr>
          <w:rFonts w:ascii="Arial" w:hAnsi="Arial" w:cs="Arial"/>
          <w:szCs w:val="24"/>
        </w:rPr>
        <w:t xml:space="preserve">eguimiento semestrales de los créditos externos en periodo de ejecución del </w:t>
      </w:r>
      <w:r w:rsidR="001B00C5">
        <w:rPr>
          <w:rFonts w:ascii="Arial" w:hAnsi="Arial" w:cs="Arial"/>
          <w:szCs w:val="24"/>
        </w:rPr>
        <w:t>G</w:t>
      </w:r>
      <w:r w:rsidR="001B00C5" w:rsidRPr="00CD2A18">
        <w:rPr>
          <w:rFonts w:ascii="Arial" w:hAnsi="Arial" w:cs="Arial"/>
          <w:szCs w:val="24"/>
        </w:rPr>
        <w:t xml:space="preserve">obierno </w:t>
      </w:r>
      <w:r w:rsidR="001B00C5">
        <w:rPr>
          <w:rFonts w:ascii="Arial" w:hAnsi="Arial" w:cs="Arial"/>
          <w:szCs w:val="24"/>
        </w:rPr>
        <w:t>C</w:t>
      </w:r>
      <w:r w:rsidR="001B00C5" w:rsidRPr="00CD2A18">
        <w:rPr>
          <w:rFonts w:ascii="Arial" w:hAnsi="Arial" w:cs="Arial"/>
          <w:szCs w:val="24"/>
        </w:rPr>
        <w:t>entral y resto del Sector Público</w:t>
      </w:r>
      <w:r w:rsidR="001B00C5">
        <w:rPr>
          <w:rFonts w:ascii="Arial" w:hAnsi="Arial" w:cs="Arial"/>
          <w:szCs w:val="24"/>
        </w:rPr>
        <w:t>, los cuales tiene</w:t>
      </w:r>
      <w:r w:rsidR="005B368A">
        <w:rPr>
          <w:rFonts w:ascii="Arial" w:hAnsi="Arial" w:cs="Arial"/>
          <w:szCs w:val="24"/>
        </w:rPr>
        <w:t>n</w:t>
      </w:r>
      <w:r w:rsidR="001B00C5">
        <w:rPr>
          <w:rFonts w:ascii="Arial" w:hAnsi="Arial" w:cs="Arial"/>
          <w:szCs w:val="24"/>
        </w:rPr>
        <w:t xml:space="preserve"> como fuente la revisión que realizan los analistas de esa Unidad </w:t>
      </w:r>
      <w:r>
        <w:rPr>
          <w:rFonts w:ascii="Arial" w:hAnsi="Arial" w:cs="Arial"/>
          <w:szCs w:val="24"/>
        </w:rPr>
        <w:t xml:space="preserve">de </w:t>
      </w:r>
      <w:r w:rsidR="001B00C5" w:rsidRPr="00B56181">
        <w:rPr>
          <w:rFonts w:ascii="Arial" w:hAnsi="Arial" w:cs="Arial"/>
          <w:szCs w:val="24"/>
        </w:rPr>
        <w:t>los saldos desembolsados contra la información que es facilitada sobre desembolsos por las Unidades Ejecutoras</w:t>
      </w:r>
      <w:r w:rsidR="001B00C5">
        <w:rPr>
          <w:rFonts w:ascii="Arial" w:hAnsi="Arial" w:cs="Arial"/>
          <w:szCs w:val="24"/>
        </w:rPr>
        <w:t xml:space="preserve">. </w:t>
      </w:r>
    </w:p>
    <w:p w14:paraId="20220BE2" w14:textId="77777777" w:rsidR="001B00C5" w:rsidRDefault="001B00C5" w:rsidP="001B00C5">
      <w:pPr>
        <w:spacing w:after="0" w:line="240" w:lineRule="auto"/>
        <w:ind w:right="22"/>
        <w:contextualSpacing/>
        <w:jc w:val="both"/>
        <w:rPr>
          <w:rFonts w:ascii="Arial" w:hAnsi="Arial" w:cs="Arial"/>
          <w:szCs w:val="24"/>
        </w:rPr>
      </w:pPr>
    </w:p>
    <w:p w14:paraId="552E98AB" w14:textId="00C35E48" w:rsidR="001B00C5" w:rsidRDefault="001B00C5" w:rsidP="001B00C5">
      <w:pPr>
        <w:spacing w:after="0" w:line="240" w:lineRule="auto"/>
        <w:ind w:right="22"/>
        <w:contextualSpacing/>
        <w:jc w:val="both"/>
        <w:rPr>
          <w:rFonts w:ascii="Arial" w:hAnsi="Arial" w:cs="Arial"/>
          <w:szCs w:val="24"/>
        </w:rPr>
      </w:pPr>
      <w:r>
        <w:rPr>
          <w:rFonts w:ascii="Arial" w:hAnsi="Arial" w:cs="Arial"/>
          <w:szCs w:val="24"/>
        </w:rPr>
        <w:t>No obstante, la</w:t>
      </w:r>
      <w:r w:rsidRPr="00CC4528">
        <w:rPr>
          <w:rFonts w:ascii="Arial" w:hAnsi="Arial" w:cs="Arial"/>
          <w:szCs w:val="24"/>
        </w:rPr>
        <w:t xml:space="preserve"> </w:t>
      </w:r>
      <w:r>
        <w:rPr>
          <w:rFonts w:ascii="Arial" w:hAnsi="Arial" w:cs="Arial"/>
          <w:szCs w:val="24"/>
        </w:rPr>
        <w:t>Unidad de Control y Seguimiento del Endeudamiento Público</w:t>
      </w:r>
      <w:r w:rsidRPr="00CC4528">
        <w:rPr>
          <w:rFonts w:ascii="Arial" w:hAnsi="Arial" w:cs="Arial"/>
          <w:szCs w:val="24"/>
        </w:rPr>
        <w:t xml:space="preserve"> no documenta las actividades de control </w:t>
      </w:r>
      <w:r w:rsidRPr="00B56181">
        <w:rPr>
          <w:rFonts w:ascii="Arial" w:hAnsi="Arial" w:cs="Arial"/>
          <w:szCs w:val="24"/>
        </w:rPr>
        <w:t>que respald</w:t>
      </w:r>
      <w:r>
        <w:rPr>
          <w:rFonts w:ascii="Arial" w:hAnsi="Arial" w:cs="Arial"/>
          <w:szCs w:val="24"/>
        </w:rPr>
        <w:t>an</w:t>
      </w:r>
      <w:r w:rsidRPr="00B56181">
        <w:rPr>
          <w:rFonts w:ascii="Arial" w:hAnsi="Arial" w:cs="Arial"/>
          <w:szCs w:val="24"/>
        </w:rPr>
        <w:t xml:space="preserve"> la ejecución </w:t>
      </w:r>
      <w:r>
        <w:rPr>
          <w:rFonts w:ascii="Arial" w:hAnsi="Arial" w:cs="Arial"/>
          <w:szCs w:val="24"/>
        </w:rPr>
        <w:t xml:space="preserve">del </w:t>
      </w:r>
      <w:r w:rsidRPr="0036300F">
        <w:rPr>
          <w:rFonts w:ascii="Arial" w:hAnsi="Arial" w:cs="Arial"/>
          <w:szCs w:val="24"/>
        </w:rPr>
        <w:t xml:space="preserve">proceso de </w:t>
      </w:r>
      <w:r w:rsidR="00F312CA" w:rsidRPr="0036300F">
        <w:rPr>
          <w:rFonts w:ascii="Arial" w:hAnsi="Arial" w:cs="Arial"/>
          <w:szCs w:val="24"/>
        </w:rPr>
        <w:t xml:space="preserve">conciliar </w:t>
      </w:r>
      <w:r w:rsidRPr="0036300F">
        <w:rPr>
          <w:rFonts w:ascii="Arial" w:hAnsi="Arial" w:cs="Arial"/>
          <w:szCs w:val="24"/>
        </w:rPr>
        <w:t>la</w:t>
      </w:r>
      <w:r w:rsidRPr="00CC4528">
        <w:rPr>
          <w:rFonts w:ascii="Arial" w:hAnsi="Arial" w:cs="Arial"/>
          <w:szCs w:val="24"/>
        </w:rPr>
        <w:t xml:space="preserve"> información revisada contra la remitida por la Unidad Ejecutora</w:t>
      </w:r>
      <w:r>
        <w:rPr>
          <w:rFonts w:ascii="Arial" w:hAnsi="Arial" w:cs="Arial"/>
          <w:szCs w:val="24"/>
        </w:rPr>
        <w:t>.</w:t>
      </w:r>
    </w:p>
    <w:p w14:paraId="60420144" w14:textId="77777777" w:rsidR="001B00C5" w:rsidRDefault="001B00C5" w:rsidP="00A11F5B">
      <w:pPr>
        <w:spacing w:after="0" w:line="240" w:lineRule="auto"/>
        <w:ind w:right="22"/>
        <w:contextualSpacing/>
        <w:jc w:val="both"/>
        <w:rPr>
          <w:rFonts w:ascii="Arial" w:hAnsi="Arial" w:cs="Arial"/>
          <w:szCs w:val="24"/>
        </w:rPr>
      </w:pPr>
    </w:p>
    <w:p w14:paraId="0904DD34" w14:textId="6B096C7D" w:rsidR="00B56181" w:rsidRPr="00B56181" w:rsidRDefault="00B56181" w:rsidP="00B56181">
      <w:pPr>
        <w:spacing w:after="0" w:line="240" w:lineRule="auto"/>
        <w:ind w:right="22"/>
        <w:contextualSpacing/>
        <w:jc w:val="both"/>
        <w:rPr>
          <w:rFonts w:ascii="Arial" w:hAnsi="Arial" w:cs="Arial"/>
          <w:szCs w:val="24"/>
        </w:rPr>
      </w:pPr>
      <w:r w:rsidRPr="00B56181">
        <w:rPr>
          <w:rFonts w:ascii="Arial" w:hAnsi="Arial" w:cs="Arial"/>
          <w:szCs w:val="24"/>
        </w:rPr>
        <w:t xml:space="preserve">La causa de esta situación es que la Dirección de Crédito Público no ha establecido en </w:t>
      </w:r>
      <w:r w:rsidR="0055536E">
        <w:rPr>
          <w:rFonts w:ascii="Arial" w:hAnsi="Arial" w:cs="Arial"/>
          <w:szCs w:val="24"/>
        </w:rPr>
        <w:t xml:space="preserve">el </w:t>
      </w:r>
      <w:r w:rsidR="00CC4528" w:rsidRPr="00B56181">
        <w:rPr>
          <w:rFonts w:ascii="Arial" w:hAnsi="Arial" w:cs="Arial"/>
          <w:szCs w:val="24"/>
        </w:rPr>
        <w:t xml:space="preserve">Manual de Procedimientos </w:t>
      </w:r>
      <w:r w:rsidR="00CC4528">
        <w:rPr>
          <w:rFonts w:ascii="Arial" w:hAnsi="Arial" w:cs="Arial"/>
          <w:szCs w:val="24"/>
        </w:rPr>
        <w:t xml:space="preserve">denominado </w:t>
      </w:r>
      <w:r w:rsidR="00CC4528" w:rsidRPr="008A695A">
        <w:rPr>
          <w:rFonts w:ascii="Arial" w:hAnsi="Arial" w:cs="Arial"/>
          <w:i/>
          <w:szCs w:val="24"/>
        </w:rPr>
        <w:t>“Seguimiento de los Créditos Externos en período de ejecución del Gobierno Central y resto del Sector Público”</w:t>
      </w:r>
      <w:r w:rsidRPr="00B56181">
        <w:rPr>
          <w:rFonts w:ascii="Arial" w:hAnsi="Arial" w:cs="Arial"/>
          <w:szCs w:val="24"/>
        </w:rPr>
        <w:t xml:space="preserve">, </w:t>
      </w:r>
      <w:r w:rsidR="005B368A">
        <w:rPr>
          <w:rFonts w:ascii="Arial" w:hAnsi="Arial" w:cs="Arial"/>
          <w:szCs w:val="24"/>
        </w:rPr>
        <w:t xml:space="preserve">actividades de control relacionadas con </w:t>
      </w:r>
      <w:r w:rsidRPr="00B56181">
        <w:rPr>
          <w:rFonts w:ascii="Arial" w:hAnsi="Arial" w:cs="Arial"/>
          <w:szCs w:val="24"/>
        </w:rPr>
        <w:t xml:space="preserve">la revisión </w:t>
      </w:r>
      <w:r w:rsidR="005B368A">
        <w:rPr>
          <w:rFonts w:ascii="Arial" w:hAnsi="Arial" w:cs="Arial"/>
          <w:szCs w:val="24"/>
        </w:rPr>
        <w:t xml:space="preserve">o conciliación </w:t>
      </w:r>
      <w:r w:rsidRPr="00B56181">
        <w:rPr>
          <w:rFonts w:ascii="Arial" w:hAnsi="Arial" w:cs="Arial"/>
          <w:szCs w:val="24"/>
        </w:rPr>
        <w:t>de los desembolsos.</w:t>
      </w:r>
    </w:p>
    <w:p w14:paraId="1AA6C040" w14:textId="77777777" w:rsidR="00B56181" w:rsidRPr="00B56181" w:rsidRDefault="00B56181" w:rsidP="00B56181">
      <w:pPr>
        <w:spacing w:after="0" w:line="240" w:lineRule="auto"/>
        <w:ind w:right="22"/>
        <w:contextualSpacing/>
        <w:jc w:val="both"/>
        <w:rPr>
          <w:rFonts w:ascii="Arial" w:hAnsi="Arial" w:cs="Arial"/>
          <w:szCs w:val="24"/>
        </w:rPr>
      </w:pPr>
    </w:p>
    <w:p w14:paraId="7EFC8871" w14:textId="3C478DF6" w:rsidR="005B368A" w:rsidRDefault="0055536E" w:rsidP="0055536E">
      <w:pPr>
        <w:spacing w:after="0" w:line="240" w:lineRule="auto"/>
        <w:ind w:right="22"/>
        <w:contextualSpacing/>
        <w:jc w:val="both"/>
        <w:rPr>
          <w:rFonts w:ascii="Arial" w:hAnsi="Arial" w:cs="Arial"/>
          <w:szCs w:val="24"/>
        </w:rPr>
      </w:pPr>
      <w:r w:rsidRPr="00120CD8">
        <w:rPr>
          <w:rFonts w:ascii="Arial" w:hAnsi="Arial" w:cs="Arial"/>
          <w:szCs w:val="24"/>
        </w:rPr>
        <w:t xml:space="preserve">Esta situación </w:t>
      </w:r>
      <w:r w:rsidR="005B368A">
        <w:rPr>
          <w:rFonts w:ascii="Arial" w:hAnsi="Arial" w:cs="Arial"/>
          <w:szCs w:val="24"/>
        </w:rPr>
        <w:t>presenta el riesgo de falta de eficiencia, en el tanto podrían estarse ejecutando revisiones innecesarias, o bien, que al no tener respaldo de la gestión realizada,</w:t>
      </w:r>
      <w:r w:rsidR="005B368A" w:rsidRPr="005B368A">
        <w:rPr>
          <w:rFonts w:ascii="Arial" w:hAnsi="Arial" w:cs="Arial"/>
          <w:szCs w:val="24"/>
        </w:rPr>
        <w:t xml:space="preserve"> </w:t>
      </w:r>
      <w:r w:rsidR="005B368A">
        <w:rPr>
          <w:rFonts w:ascii="Arial" w:hAnsi="Arial" w:cs="Arial"/>
          <w:szCs w:val="24"/>
        </w:rPr>
        <w:t>se imposibilita la rendición de cuentas.</w:t>
      </w:r>
    </w:p>
    <w:p w14:paraId="2858CD2D" w14:textId="77777777" w:rsidR="005029B3" w:rsidRDefault="005029B3" w:rsidP="00B56181">
      <w:pPr>
        <w:spacing w:after="0" w:line="240" w:lineRule="auto"/>
        <w:ind w:right="22"/>
        <w:contextualSpacing/>
        <w:jc w:val="both"/>
        <w:rPr>
          <w:rFonts w:ascii="Arial" w:hAnsi="Arial" w:cs="Arial"/>
          <w:szCs w:val="24"/>
        </w:rPr>
      </w:pPr>
    </w:p>
    <w:p w14:paraId="71C3F862" w14:textId="0530902C" w:rsidR="00B56181" w:rsidRPr="00E52F90" w:rsidRDefault="00B56181" w:rsidP="00B56181">
      <w:pPr>
        <w:pStyle w:val="Ttulo1"/>
        <w:keepNext w:val="0"/>
        <w:keepLines w:val="0"/>
        <w:numPr>
          <w:ilvl w:val="1"/>
          <w:numId w:val="21"/>
        </w:numPr>
        <w:spacing w:before="0" w:after="0"/>
        <w:ind w:left="709" w:hanging="709"/>
        <w:contextualSpacing/>
        <w:jc w:val="both"/>
        <w:rPr>
          <w:rFonts w:ascii="Arial" w:hAnsi="Arial" w:cs="Arial"/>
          <w:b/>
          <w:bCs/>
          <w:color w:val="44546A" w:themeColor="text2"/>
          <w:kern w:val="28"/>
          <w:sz w:val="24"/>
          <w:szCs w:val="24"/>
          <w:lang w:eastAsia="es-ES"/>
        </w:rPr>
      </w:pPr>
      <w:bookmarkStart w:id="76" w:name="_Toc131075272"/>
      <w:r w:rsidRPr="00AE7933">
        <w:rPr>
          <w:rFonts w:ascii="Arial" w:hAnsi="Arial" w:cs="Arial"/>
          <w:b/>
          <w:bCs/>
          <w:color w:val="44546A" w:themeColor="text2"/>
          <w:kern w:val="28"/>
          <w:sz w:val="24"/>
          <w:szCs w:val="24"/>
          <w:lang w:eastAsia="es-ES"/>
        </w:rPr>
        <w:t xml:space="preserve">Sobre </w:t>
      </w:r>
      <w:r>
        <w:rPr>
          <w:rFonts w:ascii="Arial" w:hAnsi="Arial" w:cs="Arial"/>
          <w:b/>
          <w:bCs/>
          <w:color w:val="44546A" w:themeColor="text2"/>
          <w:kern w:val="28"/>
          <w:sz w:val="24"/>
          <w:szCs w:val="24"/>
          <w:lang w:eastAsia="es-ES"/>
        </w:rPr>
        <w:t xml:space="preserve">el </w:t>
      </w:r>
      <w:r w:rsidR="00120CD8" w:rsidRPr="00120CD8">
        <w:rPr>
          <w:rFonts w:ascii="Arial" w:hAnsi="Arial" w:cs="Arial"/>
          <w:b/>
          <w:bCs/>
          <w:color w:val="44546A" w:themeColor="text2"/>
          <w:kern w:val="28"/>
          <w:sz w:val="24"/>
          <w:szCs w:val="24"/>
          <w:lang w:eastAsia="es-ES"/>
        </w:rPr>
        <w:t>seguimiento de las recomendaciones emitidas por la Unidad de Control y Seguimiento del Endeudamiento Público</w:t>
      </w:r>
      <w:bookmarkEnd w:id="76"/>
    </w:p>
    <w:p w14:paraId="061CBAEC" w14:textId="77777777" w:rsidR="00E42A76" w:rsidRDefault="00E42A76" w:rsidP="00ED51A2">
      <w:pPr>
        <w:spacing w:after="0" w:line="240" w:lineRule="auto"/>
        <w:contextualSpacing/>
      </w:pPr>
    </w:p>
    <w:p w14:paraId="173B91D4" w14:textId="7E9D2CC5" w:rsidR="00120CD8" w:rsidRDefault="00A11F5B" w:rsidP="00120CD8">
      <w:pPr>
        <w:spacing w:after="0" w:line="240" w:lineRule="auto"/>
        <w:ind w:right="22"/>
        <w:contextualSpacing/>
        <w:jc w:val="both"/>
        <w:rPr>
          <w:rFonts w:ascii="Arial" w:hAnsi="Arial" w:cs="Arial"/>
          <w:szCs w:val="24"/>
        </w:rPr>
      </w:pPr>
      <w:r>
        <w:rPr>
          <w:rFonts w:ascii="Arial" w:hAnsi="Arial" w:cs="Arial"/>
          <w:szCs w:val="24"/>
        </w:rPr>
        <w:t>En el inciso c</w:t>
      </w:r>
      <w:r w:rsidR="00B84003">
        <w:rPr>
          <w:rFonts w:ascii="Arial" w:hAnsi="Arial" w:cs="Arial"/>
          <w:szCs w:val="24"/>
        </w:rPr>
        <w:t>)</w:t>
      </w:r>
      <w:r>
        <w:rPr>
          <w:rFonts w:ascii="Arial" w:hAnsi="Arial" w:cs="Arial"/>
          <w:szCs w:val="24"/>
        </w:rPr>
        <w:t xml:space="preserve"> del </w:t>
      </w:r>
      <w:r w:rsidR="000A4D7E">
        <w:rPr>
          <w:rFonts w:ascii="Arial" w:hAnsi="Arial" w:cs="Arial"/>
          <w:szCs w:val="24"/>
        </w:rPr>
        <w:t>artículo</w:t>
      </w:r>
      <w:r>
        <w:rPr>
          <w:rFonts w:ascii="Arial" w:hAnsi="Arial" w:cs="Arial"/>
          <w:szCs w:val="24"/>
        </w:rPr>
        <w:t xml:space="preserve"> 17 </w:t>
      </w:r>
      <w:r w:rsidR="000A4D7E">
        <w:rPr>
          <w:rFonts w:ascii="Arial" w:hAnsi="Arial" w:cs="Arial"/>
          <w:szCs w:val="24"/>
        </w:rPr>
        <w:t>“</w:t>
      </w:r>
      <w:r w:rsidR="000A4D7E" w:rsidRPr="000A4D7E">
        <w:rPr>
          <w:rFonts w:ascii="Arial" w:hAnsi="Arial" w:cs="Arial"/>
          <w:szCs w:val="24"/>
        </w:rPr>
        <w:t>Seguimiento del sistema de control interno</w:t>
      </w:r>
      <w:r w:rsidR="000A4D7E">
        <w:rPr>
          <w:rFonts w:ascii="Arial" w:hAnsi="Arial" w:cs="Arial"/>
          <w:szCs w:val="24"/>
        </w:rPr>
        <w:t>”</w:t>
      </w:r>
      <w:r w:rsidR="000A4D7E" w:rsidRPr="000A4D7E">
        <w:rPr>
          <w:rFonts w:ascii="Arial" w:hAnsi="Arial" w:cs="Arial"/>
          <w:szCs w:val="24"/>
        </w:rPr>
        <w:t xml:space="preserve"> </w:t>
      </w:r>
      <w:r>
        <w:rPr>
          <w:rFonts w:ascii="Arial" w:hAnsi="Arial" w:cs="Arial"/>
          <w:szCs w:val="24"/>
        </w:rPr>
        <w:t xml:space="preserve">de la </w:t>
      </w:r>
      <w:r w:rsidR="00120CD8" w:rsidRPr="00120CD8">
        <w:rPr>
          <w:rFonts w:ascii="Arial" w:hAnsi="Arial" w:cs="Arial"/>
          <w:szCs w:val="24"/>
        </w:rPr>
        <w:t xml:space="preserve">Ley 8292, Ley General de Control Interno </w:t>
      </w:r>
      <w:r w:rsidR="00B84003">
        <w:rPr>
          <w:rFonts w:ascii="Arial" w:hAnsi="Arial" w:cs="Arial"/>
          <w:szCs w:val="24"/>
        </w:rPr>
        <w:t xml:space="preserve">se </w:t>
      </w:r>
      <w:r w:rsidR="00120CD8" w:rsidRPr="00120CD8">
        <w:rPr>
          <w:rFonts w:ascii="Arial" w:hAnsi="Arial" w:cs="Arial"/>
          <w:szCs w:val="24"/>
        </w:rPr>
        <w:t xml:space="preserve">indica </w:t>
      </w:r>
      <w:r w:rsidR="00532643">
        <w:rPr>
          <w:rFonts w:ascii="Arial" w:hAnsi="Arial" w:cs="Arial"/>
          <w:szCs w:val="24"/>
        </w:rPr>
        <w:t>lo siguiente:</w:t>
      </w:r>
    </w:p>
    <w:p w14:paraId="63563E4A" w14:textId="77777777" w:rsidR="00532643" w:rsidRDefault="00532643" w:rsidP="00120CD8">
      <w:pPr>
        <w:spacing w:after="0" w:line="240" w:lineRule="auto"/>
        <w:ind w:right="22"/>
        <w:contextualSpacing/>
        <w:jc w:val="both"/>
        <w:rPr>
          <w:rFonts w:ascii="Arial" w:hAnsi="Arial" w:cs="Arial"/>
          <w:szCs w:val="24"/>
        </w:rPr>
      </w:pPr>
    </w:p>
    <w:p w14:paraId="2D84948F" w14:textId="0B9300CB" w:rsidR="00532643" w:rsidRPr="00532643" w:rsidRDefault="00A11F5B" w:rsidP="00532643">
      <w:pPr>
        <w:autoSpaceDE w:val="0"/>
        <w:autoSpaceDN w:val="0"/>
        <w:adjustRightInd w:val="0"/>
        <w:spacing w:after="0" w:line="240" w:lineRule="auto"/>
        <w:ind w:left="708" w:right="474"/>
        <w:contextualSpacing/>
        <w:jc w:val="both"/>
        <w:rPr>
          <w:rFonts w:ascii="Arial" w:eastAsia="Times New Roman" w:hAnsi="Arial" w:cs="Arial"/>
          <w:i/>
          <w:color w:val="000000"/>
          <w:szCs w:val="24"/>
        </w:rPr>
      </w:pPr>
      <w:r>
        <w:rPr>
          <w:rFonts w:ascii="Arial" w:eastAsia="Times New Roman" w:hAnsi="Arial" w:cs="Arial"/>
          <w:i/>
          <w:color w:val="000000"/>
          <w:szCs w:val="24"/>
        </w:rPr>
        <w:t>“…</w:t>
      </w:r>
      <w:r w:rsidR="00532643" w:rsidRPr="00532643">
        <w:rPr>
          <w:rFonts w:ascii="Arial" w:eastAsia="Times New Roman" w:hAnsi="Arial" w:cs="Arial"/>
          <w:i/>
          <w:color w:val="000000"/>
          <w:szCs w:val="24"/>
        </w:rPr>
        <w:t>c)</w:t>
      </w:r>
      <w:r w:rsidR="00532643" w:rsidRPr="00532643">
        <w:rPr>
          <w:rFonts w:ascii="Arial" w:eastAsia="Times New Roman" w:hAnsi="Arial" w:cs="Arial"/>
          <w:i/>
          <w:color w:val="000000"/>
          <w:szCs w:val="24"/>
        </w:rPr>
        <w:tab/>
        <w:t>Que sean implantados los resultados de las evaluaciones periódicas que realizan la administración activa, la auditoría interna, la Contraloría General de la República, la auditoría externa y demás instituciones de control y fiscalización que correspondan, dentro de los diez días hábiles siguientes a su notificación.</w:t>
      </w:r>
      <w:r w:rsidR="00532643">
        <w:rPr>
          <w:rFonts w:ascii="Arial" w:eastAsia="Times New Roman" w:hAnsi="Arial" w:cs="Arial"/>
          <w:i/>
          <w:color w:val="000000"/>
          <w:szCs w:val="24"/>
        </w:rPr>
        <w:t>”</w:t>
      </w:r>
    </w:p>
    <w:p w14:paraId="5243EE91" w14:textId="77777777" w:rsidR="00120CD8" w:rsidRPr="00120CD8" w:rsidRDefault="00120CD8" w:rsidP="00120CD8">
      <w:pPr>
        <w:spacing w:after="0" w:line="240" w:lineRule="auto"/>
        <w:ind w:right="22"/>
        <w:contextualSpacing/>
        <w:jc w:val="both"/>
        <w:rPr>
          <w:rFonts w:ascii="Arial" w:hAnsi="Arial" w:cs="Arial"/>
          <w:szCs w:val="24"/>
        </w:rPr>
      </w:pPr>
    </w:p>
    <w:p w14:paraId="1324087F" w14:textId="63783014" w:rsidR="00120CD8" w:rsidRPr="00120CD8" w:rsidRDefault="008C2958" w:rsidP="00120CD8">
      <w:pPr>
        <w:spacing w:after="0" w:line="240" w:lineRule="auto"/>
        <w:ind w:right="22"/>
        <w:contextualSpacing/>
        <w:jc w:val="both"/>
        <w:rPr>
          <w:rFonts w:ascii="Arial" w:hAnsi="Arial" w:cs="Arial"/>
          <w:szCs w:val="24"/>
        </w:rPr>
      </w:pPr>
      <w:r>
        <w:rPr>
          <w:rFonts w:ascii="Arial" w:hAnsi="Arial" w:cs="Arial"/>
          <w:szCs w:val="24"/>
        </w:rPr>
        <w:t>En relación con esta normativa, l</w:t>
      </w:r>
      <w:r w:rsidR="00120CD8" w:rsidRPr="00120CD8">
        <w:rPr>
          <w:rFonts w:ascii="Arial" w:hAnsi="Arial" w:cs="Arial"/>
          <w:szCs w:val="24"/>
        </w:rPr>
        <w:t xml:space="preserve">a Dirección de Crédito Público no realiza el seguimiento sistematizado </w:t>
      </w:r>
      <w:r w:rsidR="000A4D7E">
        <w:rPr>
          <w:rFonts w:ascii="Arial" w:hAnsi="Arial" w:cs="Arial"/>
          <w:szCs w:val="24"/>
        </w:rPr>
        <w:t xml:space="preserve">a </w:t>
      </w:r>
      <w:r w:rsidR="00B84003">
        <w:rPr>
          <w:rFonts w:ascii="Arial" w:hAnsi="Arial" w:cs="Arial"/>
          <w:szCs w:val="24"/>
        </w:rPr>
        <w:t xml:space="preserve">la implantación </w:t>
      </w:r>
      <w:r w:rsidR="00120CD8" w:rsidRPr="00120CD8">
        <w:rPr>
          <w:rFonts w:ascii="Arial" w:hAnsi="Arial" w:cs="Arial"/>
          <w:szCs w:val="24"/>
        </w:rPr>
        <w:t>de las recomendaciones emitidas en los informes de seguimiento semestral.</w:t>
      </w:r>
    </w:p>
    <w:p w14:paraId="68669F1D" w14:textId="77777777" w:rsidR="00120CD8" w:rsidRPr="00120CD8" w:rsidRDefault="00120CD8" w:rsidP="00120CD8">
      <w:pPr>
        <w:spacing w:after="0" w:line="240" w:lineRule="auto"/>
        <w:ind w:right="22"/>
        <w:contextualSpacing/>
        <w:jc w:val="both"/>
        <w:rPr>
          <w:rFonts w:ascii="Arial" w:hAnsi="Arial" w:cs="Arial"/>
          <w:szCs w:val="24"/>
        </w:rPr>
      </w:pPr>
    </w:p>
    <w:p w14:paraId="43F31777" w14:textId="2D5D3C66" w:rsidR="00B84003" w:rsidRDefault="00120CD8" w:rsidP="00120CD8">
      <w:pPr>
        <w:spacing w:after="0" w:line="240" w:lineRule="auto"/>
        <w:ind w:right="22"/>
        <w:contextualSpacing/>
        <w:jc w:val="both"/>
        <w:rPr>
          <w:rFonts w:ascii="Arial" w:hAnsi="Arial" w:cs="Arial"/>
          <w:szCs w:val="24"/>
        </w:rPr>
      </w:pPr>
      <w:r w:rsidRPr="00120CD8">
        <w:rPr>
          <w:rFonts w:ascii="Arial" w:hAnsi="Arial" w:cs="Arial"/>
          <w:szCs w:val="24"/>
        </w:rPr>
        <w:t xml:space="preserve">La causa se debe a que la Dirección de Crédito Público no ha incluido en la </w:t>
      </w:r>
      <w:r w:rsidR="008C2958" w:rsidRPr="008C2958">
        <w:rPr>
          <w:rFonts w:ascii="Arial" w:hAnsi="Arial" w:cs="Arial"/>
          <w:i/>
          <w:szCs w:val="24"/>
        </w:rPr>
        <w:t>“</w:t>
      </w:r>
      <w:r w:rsidRPr="008C2958">
        <w:rPr>
          <w:rFonts w:ascii="Arial" w:hAnsi="Arial" w:cs="Arial"/>
          <w:i/>
          <w:szCs w:val="24"/>
        </w:rPr>
        <w:t>Metodología para el Seguimiento de Programas/ Proyectos de Inversión Pública financiados con Endeudamiento Público</w:t>
      </w:r>
      <w:r w:rsidR="008C2958" w:rsidRPr="008C2958">
        <w:rPr>
          <w:rFonts w:ascii="Arial" w:hAnsi="Arial" w:cs="Arial"/>
          <w:i/>
          <w:szCs w:val="24"/>
        </w:rPr>
        <w:t>”</w:t>
      </w:r>
      <w:r w:rsidRPr="00120CD8">
        <w:rPr>
          <w:rFonts w:ascii="Arial" w:hAnsi="Arial" w:cs="Arial"/>
          <w:szCs w:val="24"/>
        </w:rPr>
        <w:t xml:space="preserve"> las actividades de </w:t>
      </w:r>
      <w:r w:rsidR="00532643">
        <w:rPr>
          <w:rFonts w:ascii="Arial" w:hAnsi="Arial" w:cs="Arial"/>
          <w:szCs w:val="24"/>
        </w:rPr>
        <w:t xml:space="preserve">seguimiento </w:t>
      </w:r>
      <w:r w:rsidRPr="00120CD8">
        <w:rPr>
          <w:rFonts w:ascii="Arial" w:hAnsi="Arial" w:cs="Arial"/>
          <w:szCs w:val="24"/>
        </w:rPr>
        <w:t xml:space="preserve">necesarias, </w:t>
      </w:r>
      <w:r w:rsidR="00B84003">
        <w:rPr>
          <w:rFonts w:ascii="Arial" w:hAnsi="Arial" w:cs="Arial"/>
          <w:szCs w:val="24"/>
        </w:rPr>
        <w:t>donde se</w:t>
      </w:r>
      <w:r w:rsidRPr="00120CD8">
        <w:rPr>
          <w:rFonts w:ascii="Arial" w:hAnsi="Arial" w:cs="Arial"/>
          <w:szCs w:val="24"/>
        </w:rPr>
        <w:t xml:space="preserve"> identifique al menos</w:t>
      </w:r>
      <w:r w:rsidR="00B84003">
        <w:rPr>
          <w:rFonts w:ascii="Arial" w:hAnsi="Arial" w:cs="Arial"/>
          <w:szCs w:val="24"/>
        </w:rPr>
        <w:t>:</w:t>
      </w:r>
    </w:p>
    <w:p w14:paraId="6CE2F257" w14:textId="77777777" w:rsidR="001958B7" w:rsidRDefault="001958B7" w:rsidP="00120CD8">
      <w:pPr>
        <w:spacing w:after="0" w:line="240" w:lineRule="auto"/>
        <w:ind w:right="22"/>
        <w:contextualSpacing/>
        <w:jc w:val="both"/>
        <w:rPr>
          <w:rFonts w:ascii="Arial" w:hAnsi="Arial" w:cs="Arial"/>
          <w:szCs w:val="24"/>
        </w:rPr>
      </w:pPr>
    </w:p>
    <w:p w14:paraId="0D7489CF" w14:textId="77777777" w:rsidR="000A4D7E" w:rsidRDefault="000A4D7E" w:rsidP="00120CD8">
      <w:pPr>
        <w:pStyle w:val="Prrafodelista"/>
        <w:numPr>
          <w:ilvl w:val="0"/>
          <w:numId w:val="26"/>
        </w:numPr>
        <w:spacing w:after="0" w:line="240" w:lineRule="auto"/>
        <w:ind w:right="22"/>
        <w:jc w:val="both"/>
        <w:rPr>
          <w:rFonts w:ascii="Arial" w:hAnsi="Arial" w:cs="Arial"/>
          <w:szCs w:val="24"/>
        </w:rPr>
      </w:pPr>
      <w:r>
        <w:rPr>
          <w:rFonts w:ascii="Arial" w:hAnsi="Arial" w:cs="Arial"/>
          <w:szCs w:val="24"/>
        </w:rPr>
        <w:t>L</w:t>
      </w:r>
      <w:r w:rsidR="00B84003" w:rsidRPr="000A4D7E">
        <w:rPr>
          <w:rFonts w:ascii="Arial" w:hAnsi="Arial" w:cs="Arial"/>
          <w:szCs w:val="24"/>
        </w:rPr>
        <w:t>a</w:t>
      </w:r>
      <w:r w:rsidR="00120CD8" w:rsidRPr="000A4D7E">
        <w:rPr>
          <w:rFonts w:ascii="Arial" w:hAnsi="Arial" w:cs="Arial"/>
          <w:szCs w:val="24"/>
        </w:rPr>
        <w:t xml:space="preserve"> fecha establecida para el cumplimiento de la recomendación</w:t>
      </w:r>
      <w:r w:rsidR="00B84003" w:rsidRPr="000A4D7E">
        <w:rPr>
          <w:rFonts w:ascii="Arial" w:hAnsi="Arial" w:cs="Arial"/>
          <w:szCs w:val="24"/>
        </w:rPr>
        <w:t>.</w:t>
      </w:r>
    </w:p>
    <w:p w14:paraId="6B627540" w14:textId="77777777" w:rsidR="000A4D7E" w:rsidRDefault="00B84003" w:rsidP="00120CD8">
      <w:pPr>
        <w:pStyle w:val="Prrafodelista"/>
        <w:numPr>
          <w:ilvl w:val="0"/>
          <w:numId w:val="26"/>
        </w:numPr>
        <w:spacing w:after="0" w:line="240" w:lineRule="auto"/>
        <w:ind w:right="22"/>
        <w:jc w:val="both"/>
        <w:rPr>
          <w:rFonts w:ascii="Arial" w:hAnsi="Arial" w:cs="Arial"/>
          <w:szCs w:val="24"/>
        </w:rPr>
      </w:pPr>
      <w:r w:rsidRPr="000A4D7E">
        <w:rPr>
          <w:rFonts w:ascii="Arial" w:hAnsi="Arial" w:cs="Arial"/>
          <w:szCs w:val="24"/>
        </w:rPr>
        <w:t xml:space="preserve">Señalar que </w:t>
      </w:r>
      <w:r w:rsidR="00120CD8" w:rsidRPr="000A4D7E">
        <w:rPr>
          <w:rFonts w:ascii="Arial" w:hAnsi="Arial" w:cs="Arial"/>
          <w:szCs w:val="24"/>
        </w:rPr>
        <w:t>el oficio donde se emite la recomendación a la Unidad Ejecut</w:t>
      </w:r>
      <w:r w:rsidR="00F47032" w:rsidRPr="000A4D7E">
        <w:rPr>
          <w:rFonts w:ascii="Arial" w:hAnsi="Arial" w:cs="Arial"/>
          <w:szCs w:val="24"/>
        </w:rPr>
        <w:t>o</w:t>
      </w:r>
      <w:r w:rsidR="00120CD8" w:rsidRPr="000A4D7E">
        <w:rPr>
          <w:rFonts w:ascii="Arial" w:hAnsi="Arial" w:cs="Arial"/>
          <w:szCs w:val="24"/>
        </w:rPr>
        <w:t>ra o la Institución que corresponda debe ser firmado por el Ministro de Hacienda</w:t>
      </w:r>
      <w:r w:rsidRPr="000A4D7E">
        <w:rPr>
          <w:rFonts w:ascii="Arial" w:hAnsi="Arial" w:cs="Arial"/>
          <w:szCs w:val="24"/>
        </w:rPr>
        <w:t>.</w:t>
      </w:r>
    </w:p>
    <w:p w14:paraId="7E470AF7" w14:textId="173859A7" w:rsidR="00F071AB" w:rsidRPr="000A4D7E" w:rsidRDefault="00B84003" w:rsidP="00120CD8">
      <w:pPr>
        <w:pStyle w:val="Prrafodelista"/>
        <w:numPr>
          <w:ilvl w:val="0"/>
          <w:numId w:val="26"/>
        </w:numPr>
        <w:spacing w:after="0" w:line="240" w:lineRule="auto"/>
        <w:ind w:right="22"/>
        <w:jc w:val="both"/>
        <w:rPr>
          <w:rFonts w:ascii="Arial" w:hAnsi="Arial" w:cs="Arial"/>
          <w:szCs w:val="24"/>
        </w:rPr>
      </w:pPr>
      <w:r w:rsidRPr="000A4D7E">
        <w:rPr>
          <w:rFonts w:ascii="Arial" w:hAnsi="Arial" w:cs="Arial"/>
          <w:szCs w:val="24"/>
        </w:rPr>
        <w:t>S</w:t>
      </w:r>
      <w:r w:rsidR="00120CD8" w:rsidRPr="000A4D7E">
        <w:rPr>
          <w:rFonts w:ascii="Arial" w:hAnsi="Arial" w:cs="Arial"/>
          <w:szCs w:val="24"/>
        </w:rPr>
        <w:t xml:space="preserve">eñalar el responsable de darle el seguimiento, generar un informe periódico de las recomendaciones donde </w:t>
      </w:r>
      <w:r w:rsidR="00F47032" w:rsidRPr="000A4D7E">
        <w:rPr>
          <w:rFonts w:ascii="Arial" w:hAnsi="Arial" w:cs="Arial"/>
          <w:szCs w:val="24"/>
        </w:rPr>
        <w:t>especifique el estado de</w:t>
      </w:r>
      <w:r w:rsidR="00120CD8" w:rsidRPr="000A4D7E">
        <w:rPr>
          <w:rFonts w:ascii="Arial" w:hAnsi="Arial" w:cs="Arial"/>
          <w:szCs w:val="24"/>
        </w:rPr>
        <w:t xml:space="preserve"> cumplimiento</w:t>
      </w:r>
      <w:r w:rsidR="00F47032" w:rsidRPr="000A4D7E">
        <w:rPr>
          <w:rFonts w:ascii="Arial" w:hAnsi="Arial" w:cs="Arial"/>
          <w:szCs w:val="24"/>
        </w:rPr>
        <w:t>,</w:t>
      </w:r>
      <w:r w:rsidR="00120CD8" w:rsidRPr="000A4D7E">
        <w:rPr>
          <w:rFonts w:ascii="Arial" w:hAnsi="Arial" w:cs="Arial"/>
          <w:szCs w:val="24"/>
        </w:rPr>
        <w:t xml:space="preserve"> a saber: cumplidas, en proceso y no cumplidas</w:t>
      </w:r>
      <w:r w:rsidR="000A4D7E">
        <w:rPr>
          <w:rFonts w:ascii="Arial" w:hAnsi="Arial" w:cs="Arial"/>
          <w:szCs w:val="24"/>
        </w:rPr>
        <w:t>.</w:t>
      </w:r>
    </w:p>
    <w:p w14:paraId="429DB44D" w14:textId="77777777" w:rsidR="000A4D7E" w:rsidRDefault="000A4D7E" w:rsidP="009242E6">
      <w:pPr>
        <w:spacing w:after="0" w:line="240" w:lineRule="auto"/>
        <w:ind w:right="22"/>
        <w:contextualSpacing/>
        <w:jc w:val="both"/>
        <w:rPr>
          <w:rFonts w:ascii="Arial" w:hAnsi="Arial" w:cs="Arial"/>
          <w:szCs w:val="24"/>
        </w:rPr>
      </w:pPr>
    </w:p>
    <w:p w14:paraId="3B4C2648" w14:textId="1A8DCE42" w:rsidR="0057798C" w:rsidRDefault="005B27F8" w:rsidP="009242E6">
      <w:pPr>
        <w:spacing w:after="0" w:line="240" w:lineRule="auto"/>
        <w:ind w:right="22"/>
        <w:contextualSpacing/>
        <w:jc w:val="both"/>
        <w:rPr>
          <w:rFonts w:ascii="Arial" w:hAnsi="Arial" w:cs="Arial"/>
          <w:szCs w:val="24"/>
        </w:rPr>
      </w:pPr>
      <w:r>
        <w:rPr>
          <w:rFonts w:ascii="Arial" w:hAnsi="Arial" w:cs="Arial"/>
          <w:szCs w:val="24"/>
        </w:rPr>
        <w:t>Adicionalmente, la Ley de la Administración Financiera de la República y Presupuestos Públicos (N°8131) no</w:t>
      </w:r>
      <w:r w:rsidR="0057798C">
        <w:rPr>
          <w:rFonts w:ascii="Arial" w:hAnsi="Arial" w:cs="Arial"/>
          <w:szCs w:val="24"/>
        </w:rPr>
        <w:t xml:space="preserve"> señala que las recomendaciones emitidas por la Dirección de Crédito Público sean vinculantes para las unidades ejecutoras.</w:t>
      </w:r>
    </w:p>
    <w:p w14:paraId="7D7F20C9" w14:textId="089173AC" w:rsidR="005B27F8" w:rsidRDefault="005B27F8" w:rsidP="009242E6">
      <w:pPr>
        <w:spacing w:after="0" w:line="240" w:lineRule="auto"/>
        <w:ind w:right="22"/>
        <w:contextualSpacing/>
        <w:jc w:val="both"/>
        <w:rPr>
          <w:rFonts w:ascii="Arial" w:hAnsi="Arial" w:cs="Arial"/>
          <w:szCs w:val="24"/>
        </w:rPr>
      </w:pPr>
      <w:r>
        <w:rPr>
          <w:rFonts w:ascii="Arial" w:hAnsi="Arial" w:cs="Arial"/>
          <w:szCs w:val="24"/>
        </w:rPr>
        <w:t xml:space="preserve">  </w:t>
      </w:r>
    </w:p>
    <w:p w14:paraId="3CD6B78B" w14:textId="0E94CCBD" w:rsidR="009242E6" w:rsidRDefault="005949B6" w:rsidP="009242E6">
      <w:pPr>
        <w:spacing w:after="0" w:line="240" w:lineRule="auto"/>
        <w:ind w:right="22"/>
        <w:contextualSpacing/>
        <w:jc w:val="both"/>
        <w:rPr>
          <w:rFonts w:ascii="Arial" w:hAnsi="Arial" w:cs="Arial"/>
          <w:szCs w:val="24"/>
        </w:rPr>
      </w:pPr>
      <w:r>
        <w:rPr>
          <w:rFonts w:ascii="Arial" w:hAnsi="Arial" w:cs="Arial"/>
          <w:szCs w:val="24"/>
        </w:rPr>
        <w:t>L</w:t>
      </w:r>
      <w:r w:rsidR="00F071AB">
        <w:rPr>
          <w:rFonts w:ascii="Arial" w:hAnsi="Arial" w:cs="Arial"/>
          <w:szCs w:val="24"/>
        </w:rPr>
        <w:t>o señalado puede contribuir al incremento en</w:t>
      </w:r>
      <w:r w:rsidR="009242E6" w:rsidRPr="009242E6">
        <w:rPr>
          <w:rFonts w:ascii="Arial" w:hAnsi="Arial" w:cs="Arial"/>
          <w:szCs w:val="24"/>
        </w:rPr>
        <w:t xml:space="preserve"> el riesgo de que no se cumpla en tiempo </w:t>
      </w:r>
      <w:r w:rsidR="00F071AB">
        <w:rPr>
          <w:rFonts w:ascii="Arial" w:hAnsi="Arial" w:cs="Arial"/>
          <w:szCs w:val="24"/>
        </w:rPr>
        <w:t>co</w:t>
      </w:r>
      <w:r w:rsidR="00F47032">
        <w:rPr>
          <w:rFonts w:ascii="Arial" w:hAnsi="Arial" w:cs="Arial"/>
          <w:szCs w:val="24"/>
        </w:rPr>
        <w:t>n</w:t>
      </w:r>
      <w:r w:rsidR="00F071AB">
        <w:rPr>
          <w:rFonts w:ascii="Arial" w:hAnsi="Arial" w:cs="Arial"/>
          <w:szCs w:val="24"/>
        </w:rPr>
        <w:t xml:space="preserve"> </w:t>
      </w:r>
      <w:r w:rsidR="009242E6" w:rsidRPr="009242E6">
        <w:rPr>
          <w:rFonts w:ascii="Arial" w:hAnsi="Arial" w:cs="Arial"/>
          <w:szCs w:val="24"/>
        </w:rPr>
        <w:t>las recomendaciones, con el consecuente debilitamiento de la gestión realizada por las Unidades Ejecutoras.</w:t>
      </w:r>
    </w:p>
    <w:p w14:paraId="144C2285" w14:textId="77777777" w:rsidR="009242E6" w:rsidRPr="009242E6" w:rsidRDefault="009242E6" w:rsidP="009242E6">
      <w:pPr>
        <w:spacing w:after="0" w:line="240" w:lineRule="auto"/>
        <w:ind w:right="22"/>
        <w:contextualSpacing/>
        <w:jc w:val="both"/>
        <w:rPr>
          <w:rFonts w:ascii="Arial" w:hAnsi="Arial" w:cs="Arial"/>
          <w:szCs w:val="24"/>
        </w:rPr>
      </w:pPr>
    </w:p>
    <w:p w14:paraId="47D505AF" w14:textId="1567641F" w:rsidR="00120CD8" w:rsidRPr="000A4D7E" w:rsidRDefault="00B84003" w:rsidP="000A4D7E">
      <w:pPr>
        <w:spacing w:after="0" w:line="240" w:lineRule="auto"/>
        <w:ind w:right="22"/>
        <w:contextualSpacing/>
        <w:jc w:val="both"/>
        <w:rPr>
          <w:rFonts w:ascii="Arial" w:hAnsi="Arial" w:cs="Arial"/>
          <w:szCs w:val="24"/>
        </w:rPr>
      </w:pPr>
      <w:r w:rsidRPr="000A4D7E">
        <w:rPr>
          <w:rFonts w:ascii="Arial" w:hAnsi="Arial" w:cs="Arial"/>
          <w:szCs w:val="24"/>
        </w:rPr>
        <w:t xml:space="preserve">Lo anterior cobra relevancia debido a que en el Informe de Seguimiento </w:t>
      </w:r>
      <w:r w:rsidR="002A1751">
        <w:rPr>
          <w:rFonts w:ascii="Arial" w:hAnsi="Arial" w:cs="Arial"/>
          <w:szCs w:val="24"/>
        </w:rPr>
        <w:t xml:space="preserve">antes citado </w:t>
      </w:r>
      <w:r w:rsidRPr="000A4D7E">
        <w:rPr>
          <w:rFonts w:ascii="Arial" w:hAnsi="Arial" w:cs="Arial"/>
          <w:szCs w:val="24"/>
        </w:rPr>
        <w:t>se señalan siete programas/proyectos en ejecución que se encuentran en estado crítico</w:t>
      </w:r>
      <w:r w:rsidR="005B27F8">
        <w:rPr>
          <w:rFonts w:ascii="Arial" w:hAnsi="Arial" w:cs="Arial"/>
          <w:szCs w:val="24"/>
        </w:rPr>
        <w:t>, como son:</w:t>
      </w:r>
    </w:p>
    <w:p w14:paraId="552759B1" w14:textId="5C89B9ED" w:rsidR="000A4D7E" w:rsidRDefault="000A4D7E" w:rsidP="00120CD8">
      <w:pPr>
        <w:spacing w:after="0" w:line="240" w:lineRule="auto"/>
        <w:contextualSpacing/>
      </w:pPr>
    </w:p>
    <w:tbl>
      <w:tblPr>
        <w:tblStyle w:val="Tablaconcuadrcula"/>
        <w:tblW w:w="0" w:type="auto"/>
        <w:jc w:val="center"/>
        <w:tblLook w:val="04A0" w:firstRow="1" w:lastRow="0" w:firstColumn="1" w:lastColumn="0" w:noHBand="0" w:noVBand="1"/>
      </w:tblPr>
      <w:tblGrid>
        <w:gridCol w:w="549"/>
        <w:gridCol w:w="2330"/>
        <w:gridCol w:w="5949"/>
      </w:tblGrid>
      <w:tr w:rsidR="0057798C" w:rsidRPr="00467407" w14:paraId="60848BD8" w14:textId="77777777" w:rsidTr="0057798C">
        <w:trPr>
          <w:jc w:val="center"/>
        </w:trPr>
        <w:tc>
          <w:tcPr>
            <w:tcW w:w="549" w:type="dxa"/>
            <w:shd w:val="clear" w:color="auto" w:fill="44546A" w:themeFill="text2"/>
          </w:tcPr>
          <w:p w14:paraId="074A8739" w14:textId="77777777" w:rsidR="0057798C" w:rsidRPr="00467407" w:rsidRDefault="0057798C" w:rsidP="001B7B72">
            <w:pPr>
              <w:rPr>
                <w:rFonts w:ascii="Arial" w:hAnsi="Arial" w:cs="Arial"/>
                <w:sz w:val="20"/>
                <w:szCs w:val="20"/>
              </w:rPr>
            </w:pPr>
            <w:r w:rsidRPr="00467407">
              <w:rPr>
                <w:rFonts w:ascii="Arial" w:hAnsi="Arial" w:cs="Arial"/>
                <w:color w:val="FFFFFF" w:themeColor="background1"/>
                <w:sz w:val="20"/>
                <w:szCs w:val="20"/>
              </w:rPr>
              <w:t>N°</w:t>
            </w:r>
          </w:p>
        </w:tc>
        <w:tc>
          <w:tcPr>
            <w:tcW w:w="2330" w:type="dxa"/>
            <w:shd w:val="clear" w:color="auto" w:fill="44546A" w:themeFill="text2"/>
          </w:tcPr>
          <w:p w14:paraId="51325578" w14:textId="77777777" w:rsidR="0057798C" w:rsidRPr="00467407" w:rsidRDefault="0057798C" w:rsidP="001B7B72">
            <w:pPr>
              <w:rPr>
                <w:rFonts w:ascii="Arial" w:hAnsi="Arial" w:cs="Arial"/>
                <w:sz w:val="20"/>
                <w:szCs w:val="20"/>
              </w:rPr>
            </w:pPr>
            <w:r w:rsidRPr="00C11ECC">
              <w:rPr>
                <w:rFonts w:ascii="Arial" w:hAnsi="Arial" w:cs="Arial"/>
                <w:color w:val="FFFFFF" w:themeColor="background1"/>
                <w:sz w:val="20"/>
                <w:szCs w:val="20"/>
              </w:rPr>
              <w:t>Préstamo</w:t>
            </w:r>
          </w:p>
        </w:tc>
        <w:tc>
          <w:tcPr>
            <w:tcW w:w="5949" w:type="dxa"/>
            <w:shd w:val="clear" w:color="auto" w:fill="44546A" w:themeFill="text2"/>
          </w:tcPr>
          <w:p w14:paraId="1305CC8A" w14:textId="77777777" w:rsidR="0057798C" w:rsidRPr="00467407" w:rsidRDefault="0057798C" w:rsidP="001B7B72">
            <w:pPr>
              <w:rPr>
                <w:rFonts w:ascii="Arial" w:hAnsi="Arial" w:cs="Arial"/>
                <w:sz w:val="20"/>
                <w:szCs w:val="20"/>
              </w:rPr>
            </w:pPr>
            <w:r w:rsidRPr="00C11ECC">
              <w:rPr>
                <w:rFonts w:ascii="Arial" w:hAnsi="Arial" w:cs="Arial"/>
                <w:color w:val="FFFFFF" w:themeColor="background1"/>
                <w:sz w:val="20"/>
                <w:szCs w:val="20"/>
              </w:rPr>
              <w:t>Programa/proyecto</w:t>
            </w:r>
          </w:p>
        </w:tc>
      </w:tr>
      <w:tr w:rsidR="0057798C" w:rsidRPr="00467407" w14:paraId="47E8772B" w14:textId="77777777" w:rsidTr="0057798C">
        <w:trPr>
          <w:jc w:val="center"/>
        </w:trPr>
        <w:tc>
          <w:tcPr>
            <w:tcW w:w="549" w:type="dxa"/>
          </w:tcPr>
          <w:p w14:paraId="57F5C2C5" w14:textId="77777777" w:rsidR="0057798C" w:rsidRPr="00467407" w:rsidRDefault="0057798C" w:rsidP="001B7B72">
            <w:pPr>
              <w:rPr>
                <w:rFonts w:ascii="Arial" w:hAnsi="Arial" w:cs="Arial"/>
                <w:sz w:val="20"/>
                <w:szCs w:val="20"/>
              </w:rPr>
            </w:pPr>
            <w:r w:rsidRPr="00467407">
              <w:rPr>
                <w:rFonts w:ascii="Arial" w:hAnsi="Arial" w:cs="Arial"/>
                <w:sz w:val="20"/>
                <w:szCs w:val="20"/>
              </w:rPr>
              <w:t>1</w:t>
            </w:r>
          </w:p>
        </w:tc>
        <w:tc>
          <w:tcPr>
            <w:tcW w:w="2330" w:type="dxa"/>
          </w:tcPr>
          <w:p w14:paraId="0A3DEF96" w14:textId="77777777" w:rsidR="0057798C" w:rsidRPr="00467407" w:rsidRDefault="0057798C" w:rsidP="001B7B72">
            <w:pPr>
              <w:rPr>
                <w:rFonts w:ascii="Arial" w:hAnsi="Arial" w:cs="Arial"/>
                <w:sz w:val="20"/>
                <w:szCs w:val="20"/>
              </w:rPr>
            </w:pPr>
            <w:r w:rsidRPr="00467407">
              <w:rPr>
                <w:rFonts w:ascii="Arial" w:hAnsi="Arial" w:cs="Arial"/>
                <w:sz w:val="20"/>
                <w:szCs w:val="20"/>
              </w:rPr>
              <w:t>BCIE 2198</w:t>
            </w:r>
          </w:p>
        </w:tc>
        <w:tc>
          <w:tcPr>
            <w:tcW w:w="5949" w:type="dxa"/>
          </w:tcPr>
          <w:p w14:paraId="051D162D" w14:textId="77777777" w:rsidR="0057798C" w:rsidRPr="00467407" w:rsidRDefault="0057798C" w:rsidP="001B7B72">
            <w:pPr>
              <w:rPr>
                <w:rFonts w:ascii="Arial" w:hAnsi="Arial" w:cs="Arial"/>
                <w:sz w:val="20"/>
                <w:szCs w:val="20"/>
              </w:rPr>
            </w:pPr>
            <w:r w:rsidRPr="00467407">
              <w:rPr>
                <w:rFonts w:ascii="Arial" w:hAnsi="Arial" w:cs="Arial"/>
                <w:sz w:val="20"/>
                <w:szCs w:val="20"/>
              </w:rPr>
              <w:t>Programa de Alcantarillado y Control de Inundaciones para Limón</w:t>
            </w:r>
          </w:p>
        </w:tc>
      </w:tr>
      <w:tr w:rsidR="0057798C" w:rsidRPr="00467407" w14:paraId="0F87F120" w14:textId="77777777" w:rsidTr="0057798C">
        <w:trPr>
          <w:jc w:val="center"/>
        </w:trPr>
        <w:tc>
          <w:tcPr>
            <w:tcW w:w="549" w:type="dxa"/>
          </w:tcPr>
          <w:p w14:paraId="3C3076A7" w14:textId="77777777" w:rsidR="0057798C" w:rsidRPr="00467407" w:rsidRDefault="0057798C" w:rsidP="001B7B72">
            <w:pPr>
              <w:rPr>
                <w:rFonts w:ascii="Arial" w:hAnsi="Arial" w:cs="Arial"/>
                <w:sz w:val="20"/>
                <w:szCs w:val="20"/>
              </w:rPr>
            </w:pPr>
            <w:r w:rsidRPr="00467407">
              <w:rPr>
                <w:rFonts w:ascii="Arial" w:hAnsi="Arial" w:cs="Arial"/>
                <w:sz w:val="20"/>
                <w:szCs w:val="20"/>
              </w:rPr>
              <w:t>2</w:t>
            </w:r>
          </w:p>
        </w:tc>
        <w:tc>
          <w:tcPr>
            <w:tcW w:w="2330" w:type="dxa"/>
          </w:tcPr>
          <w:p w14:paraId="2A44A9D4" w14:textId="77777777" w:rsidR="0057798C" w:rsidRPr="00467407" w:rsidRDefault="0057798C" w:rsidP="001B7B72">
            <w:pPr>
              <w:rPr>
                <w:rFonts w:ascii="Arial" w:hAnsi="Arial" w:cs="Arial"/>
                <w:sz w:val="20"/>
                <w:szCs w:val="20"/>
              </w:rPr>
            </w:pPr>
            <w:r w:rsidRPr="00467407">
              <w:rPr>
                <w:rFonts w:ascii="Arial" w:hAnsi="Arial" w:cs="Arial"/>
                <w:sz w:val="20"/>
                <w:szCs w:val="20"/>
              </w:rPr>
              <w:t>BID 3488/OC-CR</w:t>
            </w:r>
          </w:p>
        </w:tc>
        <w:tc>
          <w:tcPr>
            <w:tcW w:w="5949" w:type="dxa"/>
          </w:tcPr>
          <w:p w14:paraId="2733F698" w14:textId="77777777" w:rsidR="0057798C" w:rsidRPr="00467407" w:rsidRDefault="0057798C" w:rsidP="001B7B72">
            <w:pPr>
              <w:rPr>
                <w:rFonts w:ascii="Arial" w:hAnsi="Arial" w:cs="Arial"/>
                <w:sz w:val="20"/>
                <w:szCs w:val="20"/>
              </w:rPr>
            </w:pPr>
            <w:r w:rsidRPr="00467407">
              <w:rPr>
                <w:rFonts w:ascii="Arial" w:hAnsi="Arial" w:cs="Arial"/>
                <w:sz w:val="20"/>
                <w:szCs w:val="20"/>
              </w:rPr>
              <w:t>Programa de Integración Fronteriza de Costa Rica</w:t>
            </w:r>
          </w:p>
        </w:tc>
      </w:tr>
      <w:tr w:rsidR="0057798C" w:rsidRPr="00467407" w14:paraId="0680F82F" w14:textId="77777777" w:rsidTr="0057798C">
        <w:trPr>
          <w:jc w:val="center"/>
        </w:trPr>
        <w:tc>
          <w:tcPr>
            <w:tcW w:w="549" w:type="dxa"/>
          </w:tcPr>
          <w:p w14:paraId="6D3A0C2C" w14:textId="77777777" w:rsidR="0057798C" w:rsidRPr="00467407" w:rsidRDefault="0057798C" w:rsidP="001B7B72">
            <w:pPr>
              <w:rPr>
                <w:rFonts w:ascii="Arial" w:hAnsi="Arial" w:cs="Arial"/>
                <w:sz w:val="20"/>
                <w:szCs w:val="20"/>
              </w:rPr>
            </w:pPr>
            <w:r w:rsidRPr="00467407">
              <w:rPr>
                <w:rFonts w:ascii="Arial" w:hAnsi="Arial" w:cs="Arial"/>
                <w:sz w:val="20"/>
                <w:szCs w:val="20"/>
              </w:rPr>
              <w:t>3</w:t>
            </w:r>
          </w:p>
        </w:tc>
        <w:tc>
          <w:tcPr>
            <w:tcW w:w="2330" w:type="dxa"/>
          </w:tcPr>
          <w:p w14:paraId="66F1F2FC" w14:textId="77777777" w:rsidR="0057798C" w:rsidRPr="00467407" w:rsidRDefault="0057798C" w:rsidP="001B7B72">
            <w:pPr>
              <w:rPr>
                <w:rFonts w:ascii="Arial" w:hAnsi="Arial" w:cs="Arial"/>
                <w:sz w:val="20"/>
                <w:szCs w:val="20"/>
              </w:rPr>
            </w:pPr>
            <w:r w:rsidRPr="00467407">
              <w:rPr>
                <w:rFonts w:ascii="Arial" w:hAnsi="Arial" w:cs="Arial"/>
                <w:sz w:val="20"/>
                <w:szCs w:val="20"/>
              </w:rPr>
              <w:t>EXIMBANK 1420203052013111013</w:t>
            </w:r>
          </w:p>
        </w:tc>
        <w:tc>
          <w:tcPr>
            <w:tcW w:w="5949" w:type="dxa"/>
          </w:tcPr>
          <w:p w14:paraId="6B03A940" w14:textId="77777777" w:rsidR="0057798C" w:rsidRPr="00467407" w:rsidRDefault="0057798C" w:rsidP="001B7B72">
            <w:pPr>
              <w:rPr>
                <w:rFonts w:ascii="Arial" w:hAnsi="Arial" w:cs="Arial"/>
                <w:sz w:val="20"/>
                <w:szCs w:val="20"/>
              </w:rPr>
            </w:pPr>
            <w:r w:rsidRPr="00467407">
              <w:rPr>
                <w:rFonts w:ascii="Arial" w:hAnsi="Arial" w:cs="Arial"/>
                <w:sz w:val="20"/>
                <w:szCs w:val="20"/>
              </w:rPr>
              <w:t>Rehabilitación y Ampliación de la Ruta Nacional No. 32</w:t>
            </w:r>
          </w:p>
        </w:tc>
      </w:tr>
      <w:tr w:rsidR="0057798C" w:rsidRPr="00467407" w14:paraId="0A7DC1C7" w14:textId="77777777" w:rsidTr="0057798C">
        <w:trPr>
          <w:jc w:val="center"/>
        </w:trPr>
        <w:tc>
          <w:tcPr>
            <w:tcW w:w="549" w:type="dxa"/>
          </w:tcPr>
          <w:p w14:paraId="1CBDE756" w14:textId="77777777" w:rsidR="0057798C" w:rsidRPr="00467407" w:rsidRDefault="0057798C" w:rsidP="001B7B72">
            <w:pPr>
              <w:rPr>
                <w:rFonts w:ascii="Arial" w:hAnsi="Arial" w:cs="Arial"/>
                <w:sz w:val="20"/>
                <w:szCs w:val="20"/>
              </w:rPr>
            </w:pPr>
          </w:p>
        </w:tc>
        <w:tc>
          <w:tcPr>
            <w:tcW w:w="2330" w:type="dxa"/>
          </w:tcPr>
          <w:p w14:paraId="3C6093ED" w14:textId="77777777" w:rsidR="0057798C" w:rsidRPr="00467407" w:rsidRDefault="0057798C" w:rsidP="001B7B72">
            <w:pPr>
              <w:rPr>
                <w:rFonts w:ascii="Arial" w:hAnsi="Arial" w:cs="Arial"/>
                <w:sz w:val="20"/>
                <w:szCs w:val="20"/>
              </w:rPr>
            </w:pPr>
            <w:r w:rsidRPr="00467407">
              <w:rPr>
                <w:rFonts w:ascii="Arial" w:hAnsi="Arial" w:cs="Arial"/>
                <w:sz w:val="20"/>
                <w:szCs w:val="20"/>
              </w:rPr>
              <w:t>EXIMBANK 1420202052013211015</w:t>
            </w:r>
          </w:p>
        </w:tc>
        <w:tc>
          <w:tcPr>
            <w:tcW w:w="5949" w:type="dxa"/>
          </w:tcPr>
          <w:p w14:paraId="6017C216" w14:textId="77777777" w:rsidR="0057798C" w:rsidRPr="00467407" w:rsidRDefault="0057798C" w:rsidP="001B7B72">
            <w:pPr>
              <w:rPr>
                <w:rFonts w:ascii="Arial" w:hAnsi="Arial" w:cs="Arial"/>
                <w:sz w:val="20"/>
                <w:szCs w:val="20"/>
              </w:rPr>
            </w:pPr>
            <w:r w:rsidRPr="00467407">
              <w:rPr>
                <w:rFonts w:ascii="Arial" w:hAnsi="Arial" w:cs="Arial"/>
                <w:sz w:val="20"/>
                <w:szCs w:val="20"/>
              </w:rPr>
              <w:t>Rehabilitación y Ampliación de la Ruta Nacional No. 32</w:t>
            </w:r>
          </w:p>
        </w:tc>
      </w:tr>
      <w:tr w:rsidR="0057798C" w:rsidRPr="00467407" w14:paraId="53EF98BF" w14:textId="77777777" w:rsidTr="0057798C">
        <w:trPr>
          <w:jc w:val="center"/>
        </w:trPr>
        <w:tc>
          <w:tcPr>
            <w:tcW w:w="549" w:type="dxa"/>
          </w:tcPr>
          <w:p w14:paraId="157FA578" w14:textId="77777777" w:rsidR="0057798C" w:rsidRPr="00467407" w:rsidRDefault="0057798C" w:rsidP="001B7B72">
            <w:pPr>
              <w:rPr>
                <w:rFonts w:ascii="Arial" w:hAnsi="Arial" w:cs="Arial"/>
                <w:sz w:val="20"/>
                <w:szCs w:val="20"/>
              </w:rPr>
            </w:pPr>
            <w:r w:rsidRPr="00467407">
              <w:rPr>
                <w:rFonts w:ascii="Arial" w:hAnsi="Arial" w:cs="Arial"/>
                <w:sz w:val="20"/>
                <w:szCs w:val="20"/>
              </w:rPr>
              <w:t>4</w:t>
            </w:r>
          </w:p>
        </w:tc>
        <w:tc>
          <w:tcPr>
            <w:tcW w:w="2330" w:type="dxa"/>
          </w:tcPr>
          <w:p w14:paraId="5CFBAC95" w14:textId="77777777" w:rsidR="0057798C" w:rsidRPr="00467407" w:rsidRDefault="0057798C" w:rsidP="001B7B72">
            <w:pPr>
              <w:rPr>
                <w:rFonts w:ascii="Arial" w:hAnsi="Arial" w:cs="Arial"/>
                <w:sz w:val="20"/>
                <w:szCs w:val="20"/>
              </w:rPr>
            </w:pPr>
            <w:r w:rsidRPr="00467407">
              <w:rPr>
                <w:rFonts w:ascii="Arial" w:hAnsi="Arial" w:cs="Arial"/>
                <w:sz w:val="20"/>
                <w:szCs w:val="20"/>
              </w:rPr>
              <w:t>KFW 28568</w:t>
            </w:r>
          </w:p>
        </w:tc>
        <w:tc>
          <w:tcPr>
            <w:tcW w:w="5949" w:type="dxa"/>
          </w:tcPr>
          <w:p w14:paraId="3E18AE9D" w14:textId="77777777" w:rsidR="0057798C" w:rsidRPr="00467407" w:rsidRDefault="0057798C" w:rsidP="001B7B72">
            <w:pPr>
              <w:rPr>
                <w:rFonts w:ascii="Arial" w:hAnsi="Arial" w:cs="Arial"/>
                <w:sz w:val="20"/>
                <w:szCs w:val="20"/>
              </w:rPr>
            </w:pPr>
            <w:r w:rsidRPr="00467407">
              <w:rPr>
                <w:rFonts w:ascii="Arial" w:hAnsi="Arial" w:cs="Arial"/>
                <w:sz w:val="20"/>
                <w:szCs w:val="20"/>
              </w:rPr>
              <w:t>Programa de Saneamiento en Zonas Prioritarias</w:t>
            </w:r>
          </w:p>
        </w:tc>
      </w:tr>
      <w:tr w:rsidR="0057798C" w:rsidRPr="00467407" w14:paraId="7E57A3CB" w14:textId="77777777" w:rsidTr="0057798C">
        <w:trPr>
          <w:jc w:val="center"/>
        </w:trPr>
        <w:tc>
          <w:tcPr>
            <w:tcW w:w="549" w:type="dxa"/>
          </w:tcPr>
          <w:p w14:paraId="29C3BDD1" w14:textId="77777777" w:rsidR="0057798C" w:rsidRPr="00467407" w:rsidRDefault="0057798C" w:rsidP="001B7B72">
            <w:pPr>
              <w:rPr>
                <w:rFonts w:ascii="Arial" w:hAnsi="Arial" w:cs="Arial"/>
                <w:sz w:val="20"/>
                <w:szCs w:val="20"/>
              </w:rPr>
            </w:pPr>
            <w:r w:rsidRPr="00467407">
              <w:rPr>
                <w:rFonts w:ascii="Arial" w:hAnsi="Arial" w:cs="Arial"/>
                <w:sz w:val="20"/>
                <w:szCs w:val="20"/>
              </w:rPr>
              <w:t>5</w:t>
            </w:r>
          </w:p>
        </w:tc>
        <w:tc>
          <w:tcPr>
            <w:tcW w:w="2330" w:type="dxa"/>
          </w:tcPr>
          <w:p w14:paraId="5555BA04" w14:textId="77777777" w:rsidR="0057798C" w:rsidRPr="00467407" w:rsidRDefault="0057798C" w:rsidP="001B7B72">
            <w:pPr>
              <w:rPr>
                <w:rFonts w:ascii="Arial" w:hAnsi="Arial" w:cs="Arial"/>
                <w:sz w:val="20"/>
                <w:szCs w:val="20"/>
              </w:rPr>
            </w:pPr>
            <w:r w:rsidRPr="00467407">
              <w:rPr>
                <w:rFonts w:ascii="Arial" w:hAnsi="Arial" w:cs="Arial"/>
                <w:sz w:val="20"/>
                <w:szCs w:val="20"/>
              </w:rPr>
              <w:t>BCIE 2129</w:t>
            </w:r>
          </w:p>
        </w:tc>
        <w:tc>
          <w:tcPr>
            <w:tcW w:w="5949" w:type="dxa"/>
          </w:tcPr>
          <w:p w14:paraId="54CE030B" w14:textId="77777777" w:rsidR="0057798C" w:rsidRPr="00467407" w:rsidRDefault="0057798C" w:rsidP="001B7B72">
            <w:pPr>
              <w:rPr>
                <w:rFonts w:ascii="Arial" w:hAnsi="Arial" w:cs="Arial"/>
                <w:sz w:val="20"/>
                <w:szCs w:val="20"/>
              </w:rPr>
            </w:pPr>
            <w:r w:rsidRPr="00467407">
              <w:rPr>
                <w:rFonts w:ascii="Arial" w:hAnsi="Arial" w:cs="Arial"/>
                <w:sz w:val="20"/>
                <w:szCs w:val="20"/>
              </w:rPr>
              <w:t>Proyecto de Reducción de Agua no Contabilizada y Optimización de la Eficiencia Energética en el GAM</w:t>
            </w:r>
          </w:p>
        </w:tc>
      </w:tr>
      <w:tr w:rsidR="0057798C" w:rsidRPr="00467407" w14:paraId="423E9937" w14:textId="77777777" w:rsidTr="0057798C">
        <w:trPr>
          <w:jc w:val="center"/>
        </w:trPr>
        <w:tc>
          <w:tcPr>
            <w:tcW w:w="549" w:type="dxa"/>
          </w:tcPr>
          <w:p w14:paraId="0333AB0B" w14:textId="77777777" w:rsidR="0057798C" w:rsidRPr="00467407" w:rsidRDefault="0057798C" w:rsidP="001B7B72">
            <w:pPr>
              <w:rPr>
                <w:rFonts w:ascii="Arial" w:hAnsi="Arial" w:cs="Arial"/>
                <w:sz w:val="20"/>
                <w:szCs w:val="20"/>
              </w:rPr>
            </w:pPr>
            <w:r w:rsidRPr="00467407">
              <w:rPr>
                <w:rFonts w:ascii="Arial" w:hAnsi="Arial" w:cs="Arial"/>
                <w:sz w:val="20"/>
                <w:szCs w:val="20"/>
              </w:rPr>
              <w:t>6</w:t>
            </w:r>
          </w:p>
        </w:tc>
        <w:tc>
          <w:tcPr>
            <w:tcW w:w="2330" w:type="dxa"/>
          </w:tcPr>
          <w:p w14:paraId="7035880E" w14:textId="77777777" w:rsidR="0057798C" w:rsidRPr="00467407" w:rsidRDefault="0057798C" w:rsidP="001B7B72">
            <w:pPr>
              <w:rPr>
                <w:rFonts w:ascii="Arial" w:hAnsi="Arial" w:cs="Arial"/>
                <w:sz w:val="20"/>
                <w:szCs w:val="20"/>
              </w:rPr>
            </w:pPr>
            <w:r w:rsidRPr="00467407">
              <w:rPr>
                <w:rFonts w:ascii="Arial" w:hAnsi="Arial" w:cs="Arial"/>
                <w:sz w:val="20"/>
                <w:szCs w:val="20"/>
              </w:rPr>
              <w:t>BCIE 2164</w:t>
            </w:r>
          </w:p>
        </w:tc>
        <w:tc>
          <w:tcPr>
            <w:tcW w:w="5949" w:type="dxa"/>
          </w:tcPr>
          <w:p w14:paraId="50B170BB" w14:textId="77777777" w:rsidR="0057798C" w:rsidRPr="00467407" w:rsidRDefault="0057798C" w:rsidP="001B7B72">
            <w:pPr>
              <w:rPr>
                <w:rFonts w:ascii="Arial" w:hAnsi="Arial" w:cs="Arial"/>
                <w:sz w:val="20"/>
                <w:szCs w:val="20"/>
              </w:rPr>
            </w:pPr>
            <w:r w:rsidRPr="00467407">
              <w:rPr>
                <w:rFonts w:ascii="Arial" w:hAnsi="Arial" w:cs="Arial"/>
                <w:sz w:val="20"/>
                <w:szCs w:val="20"/>
              </w:rPr>
              <w:t>Programa de Abastecimiento del Área Metropolitana de San José, Acueductos Urbanos II y Alcantarillado Sanitario de Juanito Mora de Puntarenas</w:t>
            </w:r>
          </w:p>
        </w:tc>
      </w:tr>
      <w:tr w:rsidR="0057798C" w:rsidRPr="00467407" w14:paraId="102D39CA" w14:textId="77777777" w:rsidTr="0057798C">
        <w:trPr>
          <w:jc w:val="center"/>
        </w:trPr>
        <w:tc>
          <w:tcPr>
            <w:tcW w:w="549" w:type="dxa"/>
          </w:tcPr>
          <w:p w14:paraId="7688A04E" w14:textId="77777777" w:rsidR="0057798C" w:rsidRPr="00467407" w:rsidRDefault="0057798C" w:rsidP="001B7B72">
            <w:pPr>
              <w:rPr>
                <w:rFonts w:ascii="Arial" w:hAnsi="Arial" w:cs="Arial"/>
                <w:sz w:val="20"/>
                <w:szCs w:val="20"/>
              </w:rPr>
            </w:pPr>
            <w:r w:rsidRPr="00467407">
              <w:rPr>
                <w:rFonts w:ascii="Arial" w:hAnsi="Arial" w:cs="Arial"/>
                <w:sz w:val="20"/>
                <w:szCs w:val="20"/>
              </w:rPr>
              <w:t>7</w:t>
            </w:r>
          </w:p>
        </w:tc>
        <w:tc>
          <w:tcPr>
            <w:tcW w:w="2330" w:type="dxa"/>
          </w:tcPr>
          <w:p w14:paraId="727ABB8E" w14:textId="77777777" w:rsidR="0057798C" w:rsidRPr="00467407" w:rsidRDefault="0057798C" w:rsidP="001B7B72">
            <w:pPr>
              <w:rPr>
                <w:rFonts w:ascii="Arial" w:hAnsi="Arial" w:cs="Arial"/>
                <w:sz w:val="20"/>
                <w:szCs w:val="20"/>
              </w:rPr>
            </w:pPr>
            <w:r w:rsidRPr="00467407">
              <w:rPr>
                <w:rFonts w:ascii="Arial" w:hAnsi="Arial" w:cs="Arial"/>
                <w:sz w:val="20"/>
                <w:szCs w:val="20"/>
              </w:rPr>
              <w:t>BCIE 2188-A</w:t>
            </w:r>
          </w:p>
        </w:tc>
        <w:tc>
          <w:tcPr>
            <w:tcW w:w="5949" w:type="dxa"/>
          </w:tcPr>
          <w:p w14:paraId="697A3417" w14:textId="77777777" w:rsidR="0057798C" w:rsidRPr="00467407" w:rsidRDefault="0057798C" w:rsidP="001B7B72">
            <w:pPr>
              <w:rPr>
                <w:rFonts w:ascii="Arial" w:hAnsi="Arial" w:cs="Arial"/>
                <w:sz w:val="20"/>
                <w:szCs w:val="20"/>
              </w:rPr>
            </w:pPr>
            <w:r w:rsidRPr="00467407">
              <w:rPr>
                <w:rFonts w:ascii="Arial" w:hAnsi="Arial" w:cs="Arial"/>
                <w:sz w:val="20"/>
                <w:szCs w:val="20"/>
              </w:rPr>
              <w:t>Programa de Agua Potable y Saneamiento de Zonas Costeras, Gestión de la Calidad y Eficiencia del Servicio</w:t>
            </w:r>
          </w:p>
        </w:tc>
      </w:tr>
    </w:tbl>
    <w:p w14:paraId="2AAE99AF" w14:textId="76423088" w:rsidR="0057798C" w:rsidRDefault="0057798C" w:rsidP="0057798C">
      <w:pPr>
        <w:spacing w:after="0" w:line="240" w:lineRule="auto"/>
        <w:contextualSpacing/>
        <w:jc w:val="both"/>
        <w:rPr>
          <w:rFonts w:ascii="Arial" w:hAnsi="Arial" w:cs="Arial"/>
          <w:sz w:val="20"/>
          <w:szCs w:val="20"/>
        </w:rPr>
      </w:pPr>
      <w:r w:rsidRPr="0057798C">
        <w:rPr>
          <w:rFonts w:ascii="Arial" w:hAnsi="Arial" w:cs="Arial"/>
          <w:b/>
          <w:sz w:val="20"/>
          <w:szCs w:val="20"/>
        </w:rPr>
        <w:t>Fuente:</w:t>
      </w:r>
      <w:r>
        <w:rPr>
          <w:rFonts w:ascii="Arial" w:hAnsi="Arial" w:cs="Arial"/>
          <w:sz w:val="20"/>
          <w:szCs w:val="20"/>
        </w:rPr>
        <w:t xml:space="preserve"> </w:t>
      </w:r>
      <w:r w:rsidRPr="0057798C">
        <w:rPr>
          <w:rFonts w:ascii="Arial" w:hAnsi="Arial" w:cs="Arial"/>
          <w:sz w:val="20"/>
          <w:szCs w:val="20"/>
        </w:rPr>
        <w:t>Elaboración propia con información del Informe de Seguimiento del I Semestre 2022 sobre los Créditos Externos en periodo de ejecución del Gobierno Central y Resto del Sector Público, emitido por la Dirección de Crédito Público.</w:t>
      </w:r>
    </w:p>
    <w:p w14:paraId="31698218" w14:textId="644CBCDA" w:rsidR="0057798C" w:rsidRDefault="0057798C" w:rsidP="00120CD8">
      <w:pPr>
        <w:spacing w:after="0" w:line="240" w:lineRule="auto"/>
        <w:contextualSpacing/>
        <w:rPr>
          <w:rFonts w:ascii="Arial" w:hAnsi="Arial" w:cs="Arial"/>
          <w:sz w:val="20"/>
          <w:szCs w:val="20"/>
        </w:rPr>
      </w:pPr>
    </w:p>
    <w:p w14:paraId="6EF5E350" w14:textId="77777777" w:rsidR="0057798C" w:rsidRPr="0057798C" w:rsidRDefault="0057798C" w:rsidP="00120CD8">
      <w:pPr>
        <w:spacing w:after="0" w:line="240" w:lineRule="auto"/>
        <w:contextualSpacing/>
        <w:rPr>
          <w:rFonts w:ascii="Arial" w:hAnsi="Arial" w:cs="Arial"/>
          <w:sz w:val="20"/>
          <w:szCs w:val="20"/>
        </w:rPr>
      </w:pPr>
    </w:p>
    <w:p w14:paraId="29B6B7D4" w14:textId="77777777" w:rsidR="00ED51A2" w:rsidRPr="00864F36" w:rsidRDefault="00ED51A2" w:rsidP="00ED51A2">
      <w:pPr>
        <w:pStyle w:val="Ttulo1"/>
        <w:keepNext w:val="0"/>
        <w:keepLines w:val="0"/>
        <w:numPr>
          <w:ilvl w:val="0"/>
          <w:numId w:val="23"/>
        </w:numPr>
        <w:spacing w:before="0" w:after="0"/>
        <w:contextualSpacing/>
        <w:rPr>
          <w:rFonts w:ascii="Arial" w:hAnsi="Arial" w:cs="Arial"/>
          <w:b/>
          <w:bCs/>
          <w:color w:val="44546A" w:themeColor="text2"/>
          <w:kern w:val="28"/>
          <w:sz w:val="28"/>
          <w:szCs w:val="28"/>
          <w:lang w:eastAsia="es-ES"/>
        </w:rPr>
      </w:pPr>
      <w:bookmarkStart w:id="77" w:name="_Toc118725912"/>
      <w:bookmarkStart w:id="78" w:name="_Toc131075273"/>
      <w:r w:rsidRPr="00864F36">
        <w:rPr>
          <w:rFonts w:ascii="Arial" w:hAnsi="Arial" w:cs="Arial"/>
          <w:b/>
          <w:bCs/>
          <w:color w:val="44546A" w:themeColor="text2"/>
          <w:kern w:val="28"/>
          <w:sz w:val="28"/>
          <w:szCs w:val="28"/>
          <w:lang w:eastAsia="es-ES"/>
        </w:rPr>
        <w:lastRenderedPageBreak/>
        <w:t>CONCLUSIÓN</w:t>
      </w:r>
      <w:bookmarkEnd w:id="77"/>
      <w:bookmarkEnd w:id="78"/>
    </w:p>
    <w:p w14:paraId="61B71954" w14:textId="77777777" w:rsidR="00ED51A2" w:rsidRDefault="00ED51A2" w:rsidP="00ED51A2">
      <w:pPr>
        <w:spacing w:after="0" w:line="240" w:lineRule="auto"/>
        <w:jc w:val="both"/>
        <w:rPr>
          <w:rFonts w:ascii="Arial" w:hAnsi="Arial" w:cs="Arial"/>
          <w:color w:val="000000"/>
        </w:rPr>
      </w:pPr>
    </w:p>
    <w:p w14:paraId="48539923" w14:textId="7ADDDE7E" w:rsidR="00060FBD" w:rsidRDefault="00A12A63" w:rsidP="00200AEE">
      <w:pPr>
        <w:spacing w:after="0" w:line="240" w:lineRule="auto"/>
        <w:jc w:val="both"/>
        <w:rPr>
          <w:rFonts w:ascii="Arial" w:hAnsi="Arial" w:cs="Arial"/>
          <w:szCs w:val="24"/>
        </w:rPr>
      </w:pPr>
      <w:r>
        <w:rPr>
          <w:rFonts w:ascii="Arial" w:hAnsi="Arial" w:cs="Arial"/>
          <w:szCs w:val="24"/>
        </w:rPr>
        <w:t>L</w:t>
      </w:r>
      <w:r w:rsidR="002A1751">
        <w:rPr>
          <w:rFonts w:ascii="Arial" w:hAnsi="Arial" w:cs="Arial"/>
          <w:szCs w:val="24"/>
        </w:rPr>
        <w:t>a</w:t>
      </w:r>
      <w:r w:rsidR="009242E6" w:rsidRPr="009242E6">
        <w:rPr>
          <w:rFonts w:ascii="Arial" w:hAnsi="Arial" w:cs="Arial"/>
          <w:szCs w:val="24"/>
        </w:rPr>
        <w:t xml:space="preserve"> </w:t>
      </w:r>
      <w:r w:rsidR="002A1751" w:rsidRPr="002A1751">
        <w:rPr>
          <w:rFonts w:ascii="Arial" w:hAnsi="Arial" w:cs="Arial"/>
          <w:szCs w:val="24"/>
        </w:rPr>
        <w:t>Dirección Crédito Público</w:t>
      </w:r>
      <w:r>
        <w:rPr>
          <w:rFonts w:ascii="Arial" w:hAnsi="Arial" w:cs="Arial"/>
          <w:szCs w:val="24"/>
        </w:rPr>
        <w:t xml:space="preserve"> cuenta con </w:t>
      </w:r>
      <w:r w:rsidRPr="009242E6">
        <w:rPr>
          <w:rFonts w:ascii="Arial" w:hAnsi="Arial" w:cs="Arial"/>
          <w:szCs w:val="24"/>
        </w:rPr>
        <w:t>medidas de control</w:t>
      </w:r>
      <w:r>
        <w:rPr>
          <w:rFonts w:ascii="Arial" w:hAnsi="Arial" w:cs="Arial"/>
          <w:szCs w:val="24"/>
        </w:rPr>
        <w:t xml:space="preserve"> </w:t>
      </w:r>
      <w:r w:rsidR="00F47032" w:rsidRPr="009242E6">
        <w:rPr>
          <w:rFonts w:ascii="Arial" w:hAnsi="Arial" w:cs="Arial"/>
          <w:szCs w:val="24"/>
        </w:rPr>
        <w:t xml:space="preserve">para </w:t>
      </w:r>
      <w:r w:rsidR="00C75826" w:rsidRPr="00921B6A">
        <w:rPr>
          <w:rFonts w:ascii="Arial" w:hAnsi="Arial" w:cs="Arial"/>
          <w:szCs w:val="24"/>
        </w:rPr>
        <w:t>brind</w:t>
      </w:r>
      <w:r w:rsidR="00C75826">
        <w:rPr>
          <w:rFonts w:ascii="Arial" w:hAnsi="Arial" w:cs="Arial"/>
          <w:szCs w:val="24"/>
        </w:rPr>
        <w:t>ar</w:t>
      </w:r>
      <w:r w:rsidR="00C75826" w:rsidRPr="00921B6A">
        <w:rPr>
          <w:rFonts w:ascii="Arial" w:hAnsi="Arial" w:cs="Arial"/>
          <w:szCs w:val="24"/>
        </w:rPr>
        <w:t xml:space="preserve"> una seguridad razonable </w:t>
      </w:r>
      <w:r w:rsidR="00C75826">
        <w:rPr>
          <w:rFonts w:ascii="Arial" w:hAnsi="Arial" w:cs="Arial"/>
          <w:szCs w:val="24"/>
        </w:rPr>
        <w:t xml:space="preserve">de </w:t>
      </w:r>
      <w:r w:rsidR="00C75826" w:rsidRPr="00921B6A">
        <w:rPr>
          <w:rFonts w:ascii="Arial" w:hAnsi="Arial" w:cs="Arial"/>
          <w:szCs w:val="24"/>
        </w:rPr>
        <w:t>que los programas y proyectos de inversión financiados con créditos externos, cumplan con los objetivos, la normativa, la salvaguarda de los recursos y la confiabilidad de la información</w:t>
      </w:r>
      <w:r>
        <w:rPr>
          <w:rFonts w:ascii="Arial" w:hAnsi="Arial" w:cs="Arial"/>
          <w:szCs w:val="24"/>
        </w:rPr>
        <w:t>.  No obstante, estas no son suficientes</w:t>
      </w:r>
      <w:r w:rsidR="00E35A25">
        <w:rPr>
          <w:rFonts w:ascii="Arial" w:hAnsi="Arial" w:cs="Arial"/>
          <w:szCs w:val="24"/>
        </w:rPr>
        <w:t>,</w:t>
      </w:r>
      <w:r w:rsidR="00F47032">
        <w:rPr>
          <w:rFonts w:ascii="Arial" w:hAnsi="Arial" w:cs="Arial"/>
          <w:szCs w:val="24"/>
        </w:rPr>
        <w:t xml:space="preserve"> en </w:t>
      </w:r>
      <w:r w:rsidR="002A1751">
        <w:rPr>
          <w:rFonts w:ascii="Arial" w:hAnsi="Arial" w:cs="Arial"/>
          <w:szCs w:val="24"/>
        </w:rPr>
        <w:t xml:space="preserve">razón de </w:t>
      </w:r>
      <w:r w:rsidR="002A1751" w:rsidRPr="002A1751">
        <w:rPr>
          <w:rFonts w:ascii="Arial" w:hAnsi="Arial" w:cs="Arial"/>
          <w:szCs w:val="24"/>
        </w:rPr>
        <w:t xml:space="preserve">que </w:t>
      </w:r>
      <w:r w:rsidR="002A1751">
        <w:rPr>
          <w:rFonts w:ascii="Arial" w:hAnsi="Arial" w:cs="Arial"/>
          <w:szCs w:val="24"/>
        </w:rPr>
        <w:t>no</w:t>
      </w:r>
      <w:r w:rsidR="002A1751" w:rsidRPr="002A1751">
        <w:rPr>
          <w:rFonts w:ascii="Arial" w:hAnsi="Arial" w:cs="Arial"/>
          <w:szCs w:val="24"/>
        </w:rPr>
        <w:t xml:space="preserve"> </w:t>
      </w:r>
      <w:r>
        <w:rPr>
          <w:rFonts w:ascii="Arial" w:hAnsi="Arial" w:cs="Arial"/>
          <w:szCs w:val="24"/>
        </w:rPr>
        <w:t xml:space="preserve">se </w:t>
      </w:r>
      <w:r w:rsidR="002A1751" w:rsidRPr="002A1751">
        <w:rPr>
          <w:rFonts w:ascii="Arial" w:hAnsi="Arial" w:cs="Arial"/>
          <w:szCs w:val="24"/>
        </w:rPr>
        <w:t>asegura la confiabilidad de la información relacionada con la determinación de pesos relativos concernientes al avance físico reportado por las Unidades Ejecutoras</w:t>
      </w:r>
      <w:r w:rsidR="002A1751">
        <w:rPr>
          <w:rFonts w:ascii="Arial" w:hAnsi="Arial" w:cs="Arial"/>
          <w:szCs w:val="24"/>
        </w:rPr>
        <w:t>. Tampoco</w:t>
      </w:r>
      <w:r w:rsidR="002A1751" w:rsidRPr="002A1751">
        <w:t xml:space="preserve"> </w:t>
      </w:r>
      <w:r w:rsidR="002A1751">
        <w:rPr>
          <w:rFonts w:ascii="Arial" w:hAnsi="Arial" w:cs="Arial"/>
          <w:szCs w:val="24"/>
        </w:rPr>
        <w:t>se</w:t>
      </w:r>
      <w:r w:rsidR="002A1751" w:rsidRPr="002A1751">
        <w:rPr>
          <w:rFonts w:ascii="Arial" w:hAnsi="Arial" w:cs="Arial"/>
          <w:szCs w:val="24"/>
        </w:rPr>
        <w:t xml:space="preserve"> documenta</w:t>
      </w:r>
      <w:r w:rsidR="00B10935">
        <w:rPr>
          <w:rFonts w:ascii="Arial" w:hAnsi="Arial" w:cs="Arial"/>
          <w:szCs w:val="24"/>
        </w:rPr>
        <w:t>n</w:t>
      </w:r>
      <w:r w:rsidR="002A1751" w:rsidRPr="002A1751">
        <w:rPr>
          <w:rFonts w:ascii="Arial" w:hAnsi="Arial" w:cs="Arial"/>
          <w:szCs w:val="24"/>
        </w:rPr>
        <w:t xml:space="preserve"> las actividades de control que respaldan la ejecución del proceso </w:t>
      </w:r>
      <w:r w:rsidR="002A1751" w:rsidRPr="0036300F">
        <w:rPr>
          <w:rFonts w:ascii="Arial" w:hAnsi="Arial" w:cs="Arial"/>
          <w:szCs w:val="24"/>
        </w:rPr>
        <w:t xml:space="preserve">de </w:t>
      </w:r>
      <w:r w:rsidR="00855E54" w:rsidRPr="0036300F">
        <w:rPr>
          <w:rFonts w:ascii="Arial" w:hAnsi="Arial" w:cs="Arial"/>
          <w:szCs w:val="24"/>
        </w:rPr>
        <w:t>conciliar la</w:t>
      </w:r>
      <w:r w:rsidR="002A1751" w:rsidRPr="0036300F">
        <w:rPr>
          <w:rFonts w:ascii="Arial" w:hAnsi="Arial" w:cs="Arial"/>
          <w:szCs w:val="24"/>
        </w:rPr>
        <w:t xml:space="preserve"> información </w:t>
      </w:r>
      <w:r w:rsidR="00855E54" w:rsidRPr="0036300F">
        <w:rPr>
          <w:rFonts w:ascii="Arial" w:hAnsi="Arial" w:cs="Arial"/>
          <w:szCs w:val="24"/>
        </w:rPr>
        <w:t xml:space="preserve">de los desembolsos </w:t>
      </w:r>
      <w:r w:rsidR="002A1751" w:rsidRPr="0036300F">
        <w:rPr>
          <w:rFonts w:ascii="Arial" w:hAnsi="Arial" w:cs="Arial"/>
          <w:szCs w:val="24"/>
        </w:rPr>
        <w:t>revisada contra la remitida por la Unidad Ejecutora.</w:t>
      </w:r>
    </w:p>
    <w:p w14:paraId="4A26A397" w14:textId="77777777" w:rsidR="00060FBD" w:rsidRDefault="00060FBD" w:rsidP="00200AEE">
      <w:pPr>
        <w:spacing w:after="0" w:line="240" w:lineRule="auto"/>
        <w:jc w:val="both"/>
        <w:rPr>
          <w:rFonts w:ascii="Arial" w:hAnsi="Arial" w:cs="Arial"/>
          <w:szCs w:val="24"/>
        </w:rPr>
      </w:pPr>
    </w:p>
    <w:p w14:paraId="475EA375" w14:textId="02FBA717" w:rsidR="00060FBD" w:rsidRPr="00060FBD" w:rsidRDefault="00060FBD" w:rsidP="00200AEE">
      <w:pPr>
        <w:spacing w:after="0" w:line="240" w:lineRule="auto"/>
        <w:jc w:val="both"/>
        <w:rPr>
          <w:rFonts w:ascii="Arial" w:hAnsi="Arial" w:cs="Arial"/>
          <w:szCs w:val="24"/>
        </w:rPr>
      </w:pPr>
      <w:r>
        <w:rPr>
          <w:rFonts w:ascii="Arial" w:hAnsi="Arial" w:cs="Arial"/>
          <w:szCs w:val="24"/>
        </w:rPr>
        <w:t xml:space="preserve">Además, </w:t>
      </w:r>
      <w:r w:rsidR="0022792A">
        <w:rPr>
          <w:rFonts w:ascii="Arial" w:hAnsi="Arial" w:cs="Arial"/>
          <w:szCs w:val="24"/>
        </w:rPr>
        <w:t xml:space="preserve">las recomendaciones emitidas por esa Dirección en </w:t>
      </w:r>
      <w:r w:rsidR="0022792A" w:rsidRPr="00060FBD">
        <w:rPr>
          <w:rFonts w:ascii="Arial" w:hAnsi="Arial" w:cs="Arial"/>
          <w:szCs w:val="24"/>
        </w:rPr>
        <w:t>los informes de seguimiento semestral</w:t>
      </w:r>
      <w:r w:rsidR="00294239">
        <w:rPr>
          <w:rFonts w:ascii="Arial" w:hAnsi="Arial" w:cs="Arial"/>
          <w:szCs w:val="24"/>
        </w:rPr>
        <w:t>,</w:t>
      </w:r>
      <w:r w:rsidR="0022792A">
        <w:rPr>
          <w:rFonts w:ascii="Arial" w:hAnsi="Arial" w:cs="Arial"/>
          <w:szCs w:val="24"/>
        </w:rPr>
        <w:t xml:space="preserve"> no cuentan con respaldo legal para exigir su cumplimiento, y el</w:t>
      </w:r>
      <w:r w:rsidRPr="00060FBD">
        <w:rPr>
          <w:rFonts w:ascii="Arial" w:hAnsi="Arial" w:cs="Arial"/>
          <w:szCs w:val="24"/>
        </w:rPr>
        <w:t xml:space="preserve"> seguimiento </w:t>
      </w:r>
      <w:r w:rsidR="00A12A63">
        <w:rPr>
          <w:rFonts w:ascii="Arial" w:hAnsi="Arial" w:cs="Arial"/>
          <w:szCs w:val="24"/>
        </w:rPr>
        <w:t xml:space="preserve">a </w:t>
      </w:r>
      <w:r w:rsidRPr="00060FBD">
        <w:rPr>
          <w:rFonts w:ascii="Arial" w:hAnsi="Arial" w:cs="Arial"/>
          <w:szCs w:val="24"/>
        </w:rPr>
        <w:t xml:space="preserve">la implantación de </w:t>
      </w:r>
      <w:r w:rsidR="0022792A">
        <w:rPr>
          <w:rFonts w:ascii="Arial" w:hAnsi="Arial" w:cs="Arial"/>
          <w:szCs w:val="24"/>
        </w:rPr>
        <w:t>dichas</w:t>
      </w:r>
      <w:r w:rsidRPr="00060FBD">
        <w:rPr>
          <w:rFonts w:ascii="Arial" w:hAnsi="Arial" w:cs="Arial"/>
          <w:szCs w:val="24"/>
        </w:rPr>
        <w:t xml:space="preserve"> recomendaciones </w:t>
      </w:r>
      <w:r w:rsidR="00A12A63">
        <w:rPr>
          <w:rFonts w:ascii="Arial" w:hAnsi="Arial" w:cs="Arial"/>
          <w:szCs w:val="24"/>
        </w:rPr>
        <w:t xml:space="preserve">no se realiza de forma </w:t>
      </w:r>
      <w:r w:rsidR="00A12A63" w:rsidRPr="00060FBD">
        <w:rPr>
          <w:rFonts w:ascii="Arial" w:hAnsi="Arial" w:cs="Arial"/>
          <w:szCs w:val="24"/>
        </w:rPr>
        <w:t>sistematizad</w:t>
      </w:r>
      <w:r w:rsidR="00A12A63">
        <w:rPr>
          <w:rFonts w:ascii="Arial" w:hAnsi="Arial" w:cs="Arial"/>
          <w:szCs w:val="24"/>
        </w:rPr>
        <w:t>a</w:t>
      </w:r>
      <w:r w:rsidR="00A12A63" w:rsidRPr="00060FBD">
        <w:rPr>
          <w:rFonts w:ascii="Arial" w:hAnsi="Arial" w:cs="Arial"/>
          <w:szCs w:val="24"/>
        </w:rPr>
        <w:t xml:space="preserve"> y estructurada</w:t>
      </w:r>
      <w:r w:rsidRPr="00060FBD">
        <w:rPr>
          <w:rFonts w:ascii="Arial" w:hAnsi="Arial" w:cs="Arial"/>
          <w:szCs w:val="24"/>
        </w:rPr>
        <w:t>.</w:t>
      </w:r>
    </w:p>
    <w:p w14:paraId="2C0F424D" w14:textId="77777777" w:rsidR="0036300F" w:rsidRDefault="0036300F" w:rsidP="00200AEE">
      <w:pPr>
        <w:spacing w:after="0" w:line="240" w:lineRule="auto"/>
        <w:ind w:right="22"/>
        <w:contextualSpacing/>
        <w:jc w:val="both"/>
        <w:rPr>
          <w:rFonts w:ascii="Arial" w:hAnsi="Arial" w:cs="Arial"/>
          <w:szCs w:val="24"/>
        </w:rPr>
      </w:pPr>
    </w:p>
    <w:p w14:paraId="41133910" w14:textId="77777777" w:rsidR="00801429" w:rsidRPr="0016674E" w:rsidRDefault="00801429" w:rsidP="00200AEE">
      <w:pPr>
        <w:pStyle w:val="Ttulo1"/>
        <w:keepNext w:val="0"/>
        <w:keepLines w:val="0"/>
        <w:numPr>
          <w:ilvl w:val="0"/>
          <w:numId w:val="23"/>
        </w:numPr>
        <w:spacing w:before="0" w:after="0"/>
        <w:contextualSpacing/>
        <w:rPr>
          <w:rFonts w:ascii="Arial" w:hAnsi="Arial" w:cs="Arial"/>
          <w:b/>
          <w:bCs/>
          <w:color w:val="44546A" w:themeColor="text2"/>
          <w:kern w:val="28"/>
          <w:sz w:val="28"/>
          <w:szCs w:val="28"/>
          <w:lang w:eastAsia="es-ES"/>
        </w:rPr>
      </w:pPr>
      <w:bookmarkStart w:id="79" w:name="_Toc390783339"/>
      <w:bookmarkStart w:id="80" w:name="_Toc131075274"/>
      <w:r w:rsidRPr="0016674E">
        <w:rPr>
          <w:rFonts w:ascii="Arial" w:hAnsi="Arial" w:cs="Arial"/>
          <w:b/>
          <w:bCs/>
          <w:color w:val="44546A" w:themeColor="text2"/>
          <w:kern w:val="28"/>
          <w:sz w:val="28"/>
          <w:szCs w:val="28"/>
          <w:lang w:eastAsia="es-ES"/>
        </w:rPr>
        <w:t>RECOMENDACIONES</w:t>
      </w:r>
      <w:bookmarkEnd w:id="79"/>
      <w:bookmarkEnd w:id="80"/>
    </w:p>
    <w:p w14:paraId="1980F807" w14:textId="77777777" w:rsidR="00801429" w:rsidRDefault="00801429" w:rsidP="008711A9">
      <w:pPr>
        <w:spacing w:after="0" w:line="240" w:lineRule="auto"/>
        <w:ind w:right="22"/>
        <w:contextualSpacing/>
        <w:jc w:val="both"/>
        <w:rPr>
          <w:rFonts w:ascii="Arial" w:hAnsi="Arial" w:cs="Arial"/>
          <w:sz w:val="24"/>
          <w:szCs w:val="24"/>
        </w:rPr>
      </w:pPr>
    </w:p>
    <w:p w14:paraId="03B7D686" w14:textId="77777777" w:rsidR="00801429" w:rsidRPr="00E52F90" w:rsidRDefault="00801429" w:rsidP="008711A9">
      <w:pPr>
        <w:spacing w:after="0" w:line="240" w:lineRule="auto"/>
        <w:ind w:right="22"/>
        <w:contextualSpacing/>
        <w:jc w:val="both"/>
        <w:rPr>
          <w:rFonts w:ascii="Arial" w:eastAsiaTheme="majorEastAsia" w:hAnsi="Arial" w:cs="Arial"/>
          <w:b/>
          <w:bCs/>
          <w:color w:val="44546A" w:themeColor="text2"/>
          <w:kern w:val="28"/>
          <w:sz w:val="24"/>
          <w:szCs w:val="24"/>
          <w:lang w:eastAsia="es-ES"/>
        </w:rPr>
      </w:pPr>
      <w:r w:rsidRPr="00E52F90">
        <w:rPr>
          <w:rFonts w:ascii="Arial" w:eastAsiaTheme="majorEastAsia" w:hAnsi="Arial" w:cs="Arial"/>
          <w:b/>
          <w:bCs/>
          <w:color w:val="44546A" w:themeColor="text2"/>
          <w:kern w:val="28"/>
          <w:sz w:val="24"/>
          <w:szCs w:val="24"/>
          <w:lang w:eastAsia="es-ES"/>
        </w:rPr>
        <w:t>A</w:t>
      </w:r>
      <w:r w:rsidR="00E52F90">
        <w:rPr>
          <w:rFonts w:ascii="Arial" w:eastAsiaTheme="majorEastAsia" w:hAnsi="Arial" w:cs="Arial"/>
          <w:b/>
          <w:bCs/>
          <w:color w:val="44546A" w:themeColor="text2"/>
          <w:kern w:val="28"/>
          <w:sz w:val="24"/>
          <w:szCs w:val="24"/>
          <w:lang w:eastAsia="es-ES"/>
        </w:rPr>
        <w:t>l</w:t>
      </w:r>
      <w:r w:rsidR="00E52F90" w:rsidRPr="00E52F90">
        <w:rPr>
          <w:rFonts w:ascii="Arial" w:eastAsiaTheme="majorEastAsia" w:hAnsi="Arial" w:cs="Arial"/>
          <w:b/>
          <w:bCs/>
          <w:color w:val="44546A" w:themeColor="text2"/>
          <w:kern w:val="28"/>
          <w:sz w:val="24"/>
          <w:szCs w:val="24"/>
          <w:lang w:eastAsia="es-ES"/>
        </w:rPr>
        <w:t xml:space="preserve"> Director </w:t>
      </w:r>
      <w:r w:rsidR="00CE17F3">
        <w:rPr>
          <w:rFonts w:ascii="Arial" w:eastAsiaTheme="majorEastAsia" w:hAnsi="Arial" w:cs="Arial"/>
          <w:b/>
          <w:bCs/>
          <w:color w:val="44546A" w:themeColor="text2"/>
          <w:kern w:val="28"/>
          <w:sz w:val="24"/>
          <w:szCs w:val="24"/>
          <w:lang w:eastAsia="es-ES"/>
        </w:rPr>
        <w:t>de Crédito Público</w:t>
      </w:r>
      <w:r w:rsidRPr="00E52F90">
        <w:rPr>
          <w:rFonts w:ascii="Arial" w:eastAsiaTheme="majorEastAsia" w:hAnsi="Arial" w:cs="Arial"/>
          <w:b/>
          <w:bCs/>
          <w:color w:val="44546A" w:themeColor="text2"/>
          <w:kern w:val="28"/>
          <w:sz w:val="24"/>
          <w:szCs w:val="24"/>
          <w:lang w:eastAsia="es-ES"/>
        </w:rPr>
        <w:t>:</w:t>
      </w:r>
    </w:p>
    <w:p w14:paraId="3EAD8C13" w14:textId="77777777" w:rsidR="00801429" w:rsidRPr="00D974B5" w:rsidRDefault="00801429" w:rsidP="008711A9">
      <w:pPr>
        <w:spacing w:after="0" w:line="240" w:lineRule="auto"/>
        <w:contextualSpacing/>
        <w:jc w:val="both"/>
        <w:rPr>
          <w:rFonts w:ascii="Arial" w:eastAsia="Times New Roman" w:hAnsi="Arial" w:cs="Arial"/>
        </w:rPr>
      </w:pPr>
    </w:p>
    <w:p w14:paraId="22E393FD" w14:textId="25BBE33D" w:rsidR="00F40C2B" w:rsidRPr="00FF34CD" w:rsidRDefault="009242E6" w:rsidP="00FA160F">
      <w:pPr>
        <w:pStyle w:val="Prrafodelista"/>
        <w:numPr>
          <w:ilvl w:val="1"/>
          <w:numId w:val="24"/>
        </w:numPr>
        <w:spacing w:after="0" w:line="240" w:lineRule="auto"/>
        <w:ind w:firstLine="0"/>
        <w:jc w:val="both"/>
        <w:rPr>
          <w:rFonts w:ascii="Arial" w:hAnsi="Arial" w:cs="Arial"/>
          <w:color w:val="000000"/>
        </w:rPr>
      </w:pPr>
      <w:r w:rsidRPr="009242E6">
        <w:rPr>
          <w:rFonts w:ascii="Arial" w:hAnsi="Arial" w:cs="Arial"/>
          <w:color w:val="000000"/>
        </w:rPr>
        <w:t xml:space="preserve">Valorar la inclusión </w:t>
      </w:r>
      <w:r w:rsidR="001B4AFA">
        <w:rPr>
          <w:rFonts w:ascii="Arial" w:hAnsi="Arial" w:cs="Arial"/>
          <w:color w:val="000000"/>
        </w:rPr>
        <w:t xml:space="preserve">en </w:t>
      </w:r>
      <w:r w:rsidR="001B4AFA" w:rsidRPr="00A12A63">
        <w:rPr>
          <w:rFonts w:ascii="Arial" w:hAnsi="Arial" w:cs="Arial"/>
          <w:color w:val="000000"/>
        </w:rPr>
        <w:t xml:space="preserve">el </w:t>
      </w:r>
      <w:bookmarkStart w:id="81" w:name="_Hlk129942079"/>
      <w:r w:rsidR="00110EEC" w:rsidRPr="00A12A63">
        <w:rPr>
          <w:rFonts w:ascii="Arial" w:hAnsi="Arial" w:cs="Arial"/>
          <w:color w:val="000000"/>
        </w:rPr>
        <w:t>M</w:t>
      </w:r>
      <w:r w:rsidR="001B4AFA" w:rsidRPr="00A12A63">
        <w:rPr>
          <w:rFonts w:ascii="Arial" w:hAnsi="Arial" w:cs="Arial"/>
          <w:color w:val="000000"/>
        </w:rPr>
        <w:t xml:space="preserve">anual de </w:t>
      </w:r>
      <w:r w:rsidR="00110EEC" w:rsidRPr="00A12A63">
        <w:rPr>
          <w:rFonts w:ascii="Arial" w:hAnsi="Arial" w:cs="Arial"/>
          <w:color w:val="000000"/>
        </w:rPr>
        <w:t>O</w:t>
      </w:r>
      <w:r w:rsidR="001B4AFA" w:rsidRPr="00A12A63">
        <w:rPr>
          <w:rFonts w:ascii="Arial" w:hAnsi="Arial" w:cs="Arial"/>
          <w:color w:val="000000"/>
        </w:rPr>
        <w:t xml:space="preserve">peraciones del </w:t>
      </w:r>
      <w:r w:rsidR="00110EEC" w:rsidRPr="00A12A63">
        <w:rPr>
          <w:rFonts w:ascii="Arial" w:hAnsi="Arial" w:cs="Arial"/>
          <w:color w:val="000000"/>
        </w:rPr>
        <w:t>P</w:t>
      </w:r>
      <w:r w:rsidR="001B4AFA" w:rsidRPr="00A12A63">
        <w:rPr>
          <w:rFonts w:ascii="Arial" w:hAnsi="Arial" w:cs="Arial"/>
          <w:color w:val="000000"/>
        </w:rPr>
        <w:t>royecto</w:t>
      </w:r>
      <w:r w:rsidR="00A12A63" w:rsidRPr="00A12A63">
        <w:rPr>
          <w:rFonts w:ascii="Arial" w:hAnsi="Arial" w:cs="Arial"/>
          <w:color w:val="000000"/>
        </w:rPr>
        <w:t xml:space="preserve"> de</w:t>
      </w:r>
      <w:r w:rsidR="001B4AFA" w:rsidRPr="00A12A63">
        <w:rPr>
          <w:rFonts w:ascii="Arial" w:hAnsi="Arial" w:cs="Arial"/>
          <w:color w:val="000000"/>
        </w:rPr>
        <w:t xml:space="preserve"> </w:t>
      </w:r>
      <w:bookmarkEnd w:id="81"/>
      <w:r w:rsidRPr="00A12A63">
        <w:rPr>
          <w:rFonts w:ascii="Arial" w:hAnsi="Arial" w:cs="Arial"/>
          <w:color w:val="000000"/>
        </w:rPr>
        <w:t xml:space="preserve">la indicación de que la Unidad Ejecutora comunique </w:t>
      </w:r>
      <w:r w:rsidR="001B4AFA" w:rsidRPr="00A12A63">
        <w:rPr>
          <w:rFonts w:ascii="Arial" w:hAnsi="Arial" w:cs="Arial"/>
          <w:color w:val="000000"/>
        </w:rPr>
        <w:t>a la Dirección de Crédito Público</w:t>
      </w:r>
      <w:r w:rsidR="001B4AFA">
        <w:rPr>
          <w:rFonts w:ascii="Arial" w:hAnsi="Arial" w:cs="Arial"/>
          <w:color w:val="000000"/>
        </w:rPr>
        <w:t xml:space="preserve"> </w:t>
      </w:r>
      <w:r w:rsidRPr="009242E6">
        <w:rPr>
          <w:rFonts w:ascii="Arial" w:hAnsi="Arial" w:cs="Arial"/>
          <w:color w:val="000000"/>
        </w:rPr>
        <w:t>la herramienta o la técnica que utiliz</w:t>
      </w:r>
      <w:r w:rsidR="00FF34CD">
        <w:rPr>
          <w:rFonts w:ascii="Arial" w:hAnsi="Arial" w:cs="Arial"/>
          <w:color w:val="000000"/>
        </w:rPr>
        <w:t>ó</w:t>
      </w:r>
      <w:r w:rsidRPr="009242E6">
        <w:rPr>
          <w:rFonts w:ascii="Arial" w:hAnsi="Arial" w:cs="Arial"/>
          <w:color w:val="000000"/>
        </w:rPr>
        <w:t xml:space="preserve"> para definir los pesos relativos de las actividades, así como </w:t>
      </w:r>
      <w:r w:rsidR="00FF34CD">
        <w:rPr>
          <w:rFonts w:ascii="Arial" w:hAnsi="Arial" w:cs="Arial"/>
          <w:color w:val="000000"/>
        </w:rPr>
        <w:t xml:space="preserve">incluir </w:t>
      </w:r>
      <w:r w:rsidRPr="009242E6">
        <w:rPr>
          <w:rFonts w:ascii="Arial" w:hAnsi="Arial" w:cs="Arial"/>
          <w:color w:val="000000"/>
        </w:rPr>
        <w:t xml:space="preserve">la </w:t>
      </w:r>
      <w:r w:rsidR="005B27F8">
        <w:rPr>
          <w:rFonts w:ascii="Arial" w:hAnsi="Arial" w:cs="Arial"/>
          <w:color w:val="000000"/>
        </w:rPr>
        <w:t>acción</w:t>
      </w:r>
      <w:r w:rsidR="005B27F8" w:rsidRPr="009242E6">
        <w:rPr>
          <w:rFonts w:ascii="Arial" w:hAnsi="Arial" w:cs="Arial"/>
          <w:color w:val="000000"/>
        </w:rPr>
        <w:t xml:space="preserve"> </w:t>
      </w:r>
      <w:r w:rsidRPr="009242E6">
        <w:rPr>
          <w:rFonts w:ascii="Arial" w:hAnsi="Arial" w:cs="Arial"/>
          <w:color w:val="000000"/>
        </w:rPr>
        <w:t xml:space="preserve"> que en caso que se necesite hacer una modificación</w:t>
      </w:r>
      <w:r w:rsidR="00FF34CD">
        <w:rPr>
          <w:rFonts w:ascii="Arial" w:hAnsi="Arial" w:cs="Arial"/>
          <w:color w:val="000000"/>
        </w:rPr>
        <w:t>, esta sea comunicada</w:t>
      </w:r>
      <w:r w:rsidRPr="009242E6">
        <w:rPr>
          <w:rFonts w:ascii="Arial" w:hAnsi="Arial" w:cs="Arial"/>
          <w:color w:val="000000"/>
        </w:rPr>
        <w:t xml:space="preserve"> con la debida justificación técnica</w:t>
      </w:r>
      <w:r w:rsidR="00EE5169" w:rsidRPr="00D974B5">
        <w:rPr>
          <w:rFonts w:ascii="Arial" w:hAnsi="Arial" w:cs="Arial"/>
          <w:color w:val="000000"/>
        </w:rPr>
        <w:t>.</w:t>
      </w:r>
      <w:r w:rsidRPr="009242E6">
        <w:rPr>
          <w:rFonts w:ascii="Arial" w:hAnsi="Arial" w:cs="Arial"/>
          <w:color w:val="000000"/>
        </w:rPr>
        <w:t xml:space="preserve"> </w:t>
      </w:r>
      <w:r w:rsidRPr="00BD7CE5">
        <w:rPr>
          <w:rFonts w:ascii="Arial" w:hAnsi="Arial" w:cs="Arial"/>
          <w:color w:val="000000"/>
        </w:rPr>
        <w:t xml:space="preserve">Ver apartado </w:t>
      </w:r>
      <w:r w:rsidRPr="00FF34CD">
        <w:rPr>
          <w:rFonts w:ascii="Arial" w:hAnsi="Arial" w:cs="Arial"/>
          <w:color w:val="000000"/>
        </w:rPr>
        <w:t>2.1 de este informe.</w:t>
      </w:r>
    </w:p>
    <w:p w14:paraId="0FB117A5" w14:textId="77777777" w:rsidR="00F40C2B" w:rsidRPr="00FF34CD" w:rsidRDefault="00F40C2B" w:rsidP="008711A9">
      <w:pPr>
        <w:pStyle w:val="Prrafodelista"/>
        <w:spacing w:after="0" w:line="240" w:lineRule="auto"/>
        <w:ind w:left="756"/>
        <w:jc w:val="both"/>
        <w:rPr>
          <w:rFonts w:ascii="Arial" w:hAnsi="Arial" w:cs="Arial"/>
          <w:color w:val="000000"/>
        </w:rPr>
      </w:pPr>
    </w:p>
    <w:p w14:paraId="17E4DA67" w14:textId="5A7D1FBA" w:rsidR="006C445D" w:rsidRPr="00FF34CD" w:rsidRDefault="00EE5169" w:rsidP="00BD7CE5">
      <w:pPr>
        <w:spacing w:after="0" w:line="240" w:lineRule="auto"/>
        <w:jc w:val="both"/>
        <w:rPr>
          <w:rFonts w:ascii="Arial" w:hAnsi="Arial" w:cs="Arial"/>
          <w:color w:val="000000"/>
        </w:rPr>
      </w:pPr>
      <w:r w:rsidRPr="00FF34CD">
        <w:rPr>
          <w:rFonts w:ascii="Arial" w:hAnsi="Arial" w:cs="Arial"/>
          <w:color w:val="000000"/>
        </w:rPr>
        <w:t xml:space="preserve">Remitir a la Auditoría Interna a más tardar el </w:t>
      </w:r>
      <w:r w:rsidR="009242E6" w:rsidRPr="00FF34CD">
        <w:rPr>
          <w:rFonts w:ascii="Arial" w:eastAsia="Times New Roman" w:hAnsi="Arial" w:cs="Arial"/>
          <w:color w:val="000000"/>
          <w:lang w:val="es-MX"/>
        </w:rPr>
        <w:t>30 de junio de 2023</w:t>
      </w:r>
      <w:r w:rsidR="006D6172" w:rsidRPr="00FF34CD">
        <w:rPr>
          <w:rFonts w:ascii="Arial" w:hAnsi="Arial" w:cs="Arial"/>
          <w:color w:val="000000"/>
        </w:rPr>
        <w:t>,</w:t>
      </w:r>
      <w:r w:rsidRPr="00FF34CD">
        <w:rPr>
          <w:rFonts w:ascii="Arial" w:hAnsi="Arial" w:cs="Arial"/>
          <w:color w:val="000000"/>
        </w:rPr>
        <w:t xml:space="preserve"> una certificación en donde</w:t>
      </w:r>
      <w:r w:rsidR="00BC27D1">
        <w:rPr>
          <w:rFonts w:ascii="Arial" w:hAnsi="Arial" w:cs="Arial"/>
          <w:color w:val="000000"/>
        </w:rPr>
        <w:t xml:space="preserve"> </w:t>
      </w:r>
      <w:r w:rsidRPr="00FF34CD">
        <w:rPr>
          <w:rFonts w:ascii="Arial" w:hAnsi="Arial" w:cs="Arial"/>
          <w:color w:val="000000"/>
        </w:rPr>
        <w:t>se acredite el cumplimiento de lo recomendado, así como la evidencia respectiva.</w:t>
      </w:r>
    </w:p>
    <w:p w14:paraId="419B6381" w14:textId="77777777" w:rsidR="00F40C2B" w:rsidRPr="00FF34CD" w:rsidRDefault="00F40C2B" w:rsidP="008711A9">
      <w:pPr>
        <w:pStyle w:val="Prrafodelista"/>
        <w:spacing w:after="0" w:line="240" w:lineRule="auto"/>
        <w:ind w:left="756"/>
        <w:jc w:val="both"/>
        <w:rPr>
          <w:rFonts w:ascii="Arial" w:hAnsi="Arial" w:cs="Arial"/>
          <w:color w:val="000000"/>
        </w:rPr>
      </w:pPr>
    </w:p>
    <w:p w14:paraId="46F5A501" w14:textId="462EC31A" w:rsidR="00A12A63" w:rsidRPr="00A12A63" w:rsidRDefault="001B4AFA" w:rsidP="00E42A76">
      <w:pPr>
        <w:pStyle w:val="Prrafodelista"/>
        <w:numPr>
          <w:ilvl w:val="1"/>
          <w:numId w:val="24"/>
        </w:numPr>
        <w:spacing w:after="0" w:line="240" w:lineRule="auto"/>
        <w:ind w:firstLine="0"/>
        <w:jc w:val="both"/>
        <w:rPr>
          <w:rFonts w:ascii="Arial" w:hAnsi="Arial" w:cs="Arial"/>
          <w:color w:val="000000"/>
        </w:rPr>
      </w:pPr>
      <w:r w:rsidRPr="00A12A63">
        <w:rPr>
          <w:rFonts w:ascii="Arial" w:eastAsia="Times New Roman" w:hAnsi="Arial" w:cs="Arial"/>
          <w:color w:val="000000"/>
          <w:lang w:val="es-MX"/>
        </w:rPr>
        <w:t xml:space="preserve">Valorar </w:t>
      </w:r>
      <w:r w:rsidR="00A12A63" w:rsidRPr="00A12A63">
        <w:rPr>
          <w:rFonts w:ascii="Arial" w:eastAsia="Times New Roman" w:hAnsi="Arial" w:cs="Arial"/>
          <w:color w:val="000000"/>
          <w:lang w:val="es-MX"/>
        </w:rPr>
        <w:t>la pertinencia de las acciones de control que se ejecutan</w:t>
      </w:r>
      <w:r w:rsidR="00D61FA6">
        <w:rPr>
          <w:rFonts w:ascii="Arial" w:eastAsia="Times New Roman" w:hAnsi="Arial" w:cs="Arial"/>
          <w:color w:val="000000"/>
          <w:lang w:val="es-MX"/>
        </w:rPr>
        <w:t xml:space="preserve"> en la Unidad de Control y Seguimiento del Endeudamiento Público, </w:t>
      </w:r>
      <w:r w:rsidR="00A12A63" w:rsidRPr="00A12A63">
        <w:rPr>
          <w:rFonts w:ascii="Arial" w:eastAsia="Times New Roman" w:hAnsi="Arial" w:cs="Arial"/>
          <w:color w:val="000000"/>
          <w:lang w:val="es-MX"/>
        </w:rPr>
        <w:t xml:space="preserve">relacionadas con  </w:t>
      </w:r>
      <w:r w:rsidR="00A12A63">
        <w:rPr>
          <w:rFonts w:ascii="Arial" w:eastAsia="Times New Roman" w:hAnsi="Arial" w:cs="Arial"/>
          <w:color w:val="000000"/>
          <w:lang w:val="es-MX"/>
        </w:rPr>
        <w:t xml:space="preserve">la conciliación de la información sobre los desembolsos remitida por la Unidad Ejecutora, contra los registros del </w:t>
      </w:r>
      <w:r w:rsidR="00A12A63" w:rsidRPr="00B01E8D">
        <w:rPr>
          <w:rFonts w:ascii="Arial" w:eastAsia="Times New Roman" w:hAnsi="Arial" w:cs="Arial"/>
          <w:color w:val="000000"/>
          <w:lang w:val="es-MX"/>
        </w:rPr>
        <w:t>Sistema de Gestión y Análisis de la Deuda</w:t>
      </w:r>
      <w:r w:rsidR="00A12A63">
        <w:rPr>
          <w:rFonts w:ascii="Arial" w:eastAsia="Times New Roman" w:hAnsi="Arial" w:cs="Arial"/>
          <w:color w:val="000000"/>
          <w:lang w:val="es-MX"/>
        </w:rPr>
        <w:t xml:space="preserve"> (SIGADE), y si se consideran procedentes, incorporarlas en </w:t>
      </w:r>
      <w:r w:rsidR="00A12A63" w:rsidRPr="004D4CA3">
        <w:rPr>
          <w:rFonts w:ascii="Arial" w:eastAsia="Times New Roman" w:hAnsi="Arial" w:cs="Arial"/>
          <w:color w:val="000000"/>
          <w:lang w:val="es-MX"/>
        </w:rPr>
        <w:t>los procedimientos internos</w:t>
      </w:r>
      <w:r w:rsidR="00315FFD">
        <w:rPr>
          <w:rFonts w:ascii="Arial" w:eastAsia="Times New Roman" w:hAnsi="Arial" w:cs="Arial"/>
          <w:color w:val="000000"/>
          <w:lang w:val="es-MX"/>
        </w:rPr>
        <w:t>, con su respectiva oficialización y divulgación.</w:t>
      </w:r>
      <w:r w:rsidR="00315FFD" w:rsidRPr="00315FFD">
        <w:rPr>
          <w:rFonts w:ascii="Arial" w:hAnsi="Arial" w:cs="Arial"/>
          <w:color w:val="000000"/>
        </w:rPr>
        <w:t xml:space="preserve"> </w:t>
      </w:r>
      <w:r w:rsidR="00315FFD" w:rsidRPr="00FF34CD">
        <w:rPr>
          <w:rFonts w:ascii="Arial" w:hAnsi="Arial" w:cs="Arial"/>
          <w:color w:val="000000"/>
        </w:rPr>
        <w:t>Ver apartado 2.2 de este informe.</w:t>
      </w:r>
    </w:p>
    <w:p w14:paraId="436E035A" w14:textId="77777777" w:rsidR="00315FFD" w:rsidRDefault="00315FFD" w:rsidP="0013143D">
      <w:pPr>
        <w:spacing w:after="0" w:line="240" w:lineRule="auto"/>
        <w:jc w:val="both"/>
        <w:rPr>
          <w:rFonts w:ascii="Arial" w:hAnsi="Arial" w:cs="Arial"/>
          <w:color w:val="000000"/>
        </w:rPr>
      </w:pPr>
    </w:p>
    <w:p w14:paraId="3068E39D" w14:textId="374686F7" w:rsidR="0013143D" w:rsidRPr="00FA160F" w:rsidRDefault="0013143D" w:rsidP="0013143D">
      <w:pPr>
        <w:spacing w:after="0" w:line="240" w:lineRule="auto"/>
        <w:jc w:val="both"/>
        <w:rPr>
          <w:rFonts w:ascii="Arial" w:hAnsi="Arial" w:cs="Arial"/>
          <w:color w:val="000000"/>
        </w:rPr>
      </w:pPr>
      <w:r w:rsidRPr="00FA160F">
        <w:rPr>
          <w:rFonts w:ascii="Arial" w:hAnsi="Arial" w:cs="Arial"/>
          <w:color w:val="000000"/>
        </w:rPr>
        <w:t xml:space="preserve">Remitir a la Auditoría Interna a más tardar </w:t>
      </w:r>
      <w:r w:rsidR="00315FFD" w:rsidRPr="00FF34CD">
        <w:rPr>
          <w:rFonts w:ascii="Arial" w:hAnsi="Arial" w:cs="Arial"/>
          <w:color w:val="000000"/>
        </w:rPr>
        <w:t xml:space="preserve">el </w:t>
      </w:r>
      <w:r w:rsidR="00315FFD" w:rsidRPr="00FF34CD">
        <w:rPr>
          <w:rFonts w:ascii="Arial" w:eastAsia="Times New Roman" w:hAnsi="Arial" w:cs="Arial"/>
          <w:color w:val="000000"/>
          <w:lang w:val="es-MX"/>
        </w:rPr>
        <w:t>30 de junio de 2023</w:t>
      </w:r>
      <w:r>
        <w:rPr>
          <w:rFonts w:ascii="Arial" w:hAnsi="Arial" w:cs="Arial"/>
          <w:color w:val="000000"/>
        </w:rPr>
        <w:t>,</w:t>
      </w:r>
      <w:r w:rsidRPr="00FA160F">
        <w:rPr>
          <w:rFonts w:ascii="Arial" w:hAnsi="Arial" w:cs="Arial"/>
          <w:color w:val="000000"/>
        </w:rPr>
        <w:t xml:space="preserve"> una certificación en donde</w:t>
      </w:r>
      <w:r w:rsidR="00BC27D1">
        <w:rPr>
          <w:rFonts w:ascii="Arial" w:hAnsi="Arial" w:cs="Arial"/>
          <w:color w:val="000000"/>
        </w:rPr>
        <w:t xml:space="preserve"> </w:t>
      </w:r>
      <w:r w:rsidRPr="00FA160F">
        <w:rPr>
          <w:rFonts w:ascii="Arial" w:hAnsi="Arial" w:cs="Arial"/>
          <w:color w:val="000000"/>
        </w:rPr>
        <w:t>se acredite el cumplimiento de lo recomendado, así como la evidencia respectiva.</w:t>
      </w:r>
    </w:p>
    <w:p w14:paraId="42F0D913" w14:textId="77777777" w:rsidR="0013143D" w:rsidRDefault="0013143D" w:rsidP="0013143D">
      <w:pPr>
        <w:pStyle w:val="Prrafodelista"/>
        <w:spacing w:after="0" w:line="240" w:lineRule="auto"/>
        <w:ind w:left="0"/>
        <w:jc w:val="both"/>
        <w:rPr>
          <w:rFonts w:ascii="Arial" w:hAnsi="Arial" w:cs="Arial"/>
          <w:color w:val="000000"/>
        </w:rPr>
      </w:pPr>
    </w:p>
    <w:p w14:paraId="2B5140CD" w14:textId="617A969D" w:rsidR="00FF634B" w:rsidRPr="00315FFD" w:rsidRDefault="009242E6" w:rsidP="00E42A76">
      <w:pPr>
        <w:pStyle w:val="Prrafodelista"/>
        <w:numPr>
          <w:ilvl w:val="1"/>
          <w:numId w:val="24"/>
        </w:numPr>
        <w:spacing w:after="0" w:line="240" w:lineRule="auto"/>
        <w:ind w:firstLine="0"/>
        <w:jc w:val="both"/>
        <w:rPr>
          <w:rFonts w:ascii="Arial" w:hAnsi="Arial" w:cs="Arial"/>
          <w:color w:val="000000"/>
        </w:rPr>
      </w:pPr>
      <w:r w:rsidRPr="00315FFD">
        <w:rPr>
          <w:rFonts w:ascii="Arial" w:hAnsi="Arial" w:cs="Arial"/>
        </w:rPr>
        <w:t>Incorporar, oficializar y divulgar en los procedimientos internos</w:t>
      </w:r>
      <w:r w:rsidR="00FF34CD" w:rsidRPr="00315FFD">
        <w:rPr>
          <w:rFonts w:ascii="Arial" w:hAnsi="Arial" w:cs="Arial"/>
        </w:rPr>
        <w:t>,</w:t>
      </w:r>
      <w:r w:rsidRPr="00315FFD">
        <w:rPr>
          <w:rFonts w:ascii="Arial" w:hAnsi="Arial" w:cs="Arial"/>
        </w:rPr>
        <w:t xml:space="preserve"> actividades de control para realizar el seguimiento de las recomendaciones emitidas en los informes semestrales </w:t>
      </w:r>
      <w:r w:rsidR="002E4B8A">
        <w:rPr>
          <w:rFonts w:ascii="Arial" w:hAnsi="Arial" w:cs="Arial"/>
        </w:rPr>
        <w:t>de</w:t>
      </w:r>
      <w:r w:rsidRPr="00315FFD">
        <w:rPr>
          <w:rFonts w:ascii="Arial" w:hAnsi="Arial" w:cs="Arial"/>
        </w:rPr>
        <w:t xml:space="preserve"> </w:t>
      </w:r>
      <w:r w:rsidR="005B27F8">
        <w:rPr>
          <w:rFonts w:ascii="Arial" w:hAnsi="Arial" w:cs="Arial"/>
        </w:rPr>
        <w:t>la Dirección de Crédito Público.</w:t>
      </w:r>
      <w:r w:rsidR="00030626" w:rsidRPr="00315FFD">
        <w:rPr>
          <w:rFonts w:ascii="Arial" w:hAnsi="Arial" w:cs="Arial"/>
        </w:rPr>
        <w:t xml:space="preserve"> </w:t>
      </w:r>
      <w:r w:rsidR="00315FFD" w:rsidRPr="00315FFD">
        <w:rPr>
          <w:rFonts w:ascii="Arial" w:hAnsi="Arial" w:cs="Arial"/>
          <w:color w:val="000000"/>
        </w:rPr>
        <w:t>Ver apartado 2.3 de este informe.</w:t>
      </w:r>
    </w:p>
    <w:p w14:paraId="75A28D21" w14:textId="77777777" w:rsidR="00315FFD" w:rsidRDefault="00315FFD" w:rsidP="00315FFD">
      <w:pPr>
        <w:spacing w:after="0" w:line="240" w:lineRule="auto"/>
        <w:jc w:val="both"/>
        <w:rPr>
          <w:rFonts w:ascii="Arial" w:hAnsi="Arial" w:cs="Arial"/>
          <w:color w:val="000000"/>
        </w:rPr>
      </w:pPr>
    </w:p>
    <w:p w14:paraId="56BC0E28" w14:textId="7BEAB159" w:rsidR="00315FFD" w:rsidRPr="00315FFD" w:rsidRDefault="00315FFD" w:rsidP="00315FFD">
      <w:pPr>
        <w:spacing w:after="0" w:line="240" w:lineRule="auto"/>
        <w:jc w:val="both"/>
        <w:rPr>
          <w:rFonts w:ascii="Arial" w:hAnsi="Arial" w:cs="Arial"/>
          <w:color w:val="000000"/>
        </w:rPr>
      </w:pPr>
      <w:r w:rsidRPr="00315FFD">
        <w:rPr>
          <w:rFonts w:ascii="Arial" w:hAnsi="Arial" w:cs="Arial"/>
          <w:color w:val="000000"/>
        </w:rPr>
        <w:t xml:space="preserve">Remitir a la Auditoría Interna a más tardar el </w:t>
      </w:r>
      <w:r w:rsidRPr="00315FFD">
        <w:rPr>
          <w:rFonts w:ascii="Arial" w:eastAsia="Times New Roman" w:hAnsi="Arial" w:cs="Arial"/>
          <w:color w:val="000000"/>
          <w:lang w:val="es-MX"/>
        </w:rPr>
        <w:t>30 de junio de 2023</w:t>
      </w:r>
      <w:r w:rsidRPr="00315FFD">
        <w:rPr>
          <w:rFonts w:ascii="Arial" w:hAnsi="Arial" w:cs="Arial"/>
          <w:color w:val="000000"/>
        </w:rPr>
        <w:t>, una certificación en donde se acredite el cumplimiento de lo recomendado, así como la evidencia respectiva.</w:t>
      </w:r>
    </w:p>
    <w:p w14:paraId="7131D313" w14:textId="77777777" w:rsidR="00AD7A90" w:rsidRPr="00752461" w:rsidRDefault="00AD7A90" w:rsidP="00AD7A90">
      <w:pPr>
        <w:spacing w:after="0" w:line="240" w:lineRule="auto"/>
        <w:jc w:val="both"/>
        <w:rPr>
          <w:rFonts w:ascii="Arial" w:hAnsi="Arial" w:cs="Arial"/>
          <w:color w:val="000000"/>
          <w:highlight w:val="yellow"/>
        </w:rPr>
      </w:pPr>
    </w:p>
    <w:p w14:paraId="2B8553B5" w14:textId="0F000991" w:rsidR="00FF634B" w:rsidRPr="00315FFD" w:rsidRDefault="00BF4244" w:rsidP="00315FFD">
      <w:pPr>
        <w:pStyle w:val="Prrafodelista"/>
        <w:numPr>
          <w:ilvl w:val="1"/>
          <w:numId w:val="24"/>
        </w:numPr>
        <w:spacing w:after="0" w:line="240" w:lineRule="auto"/>
        <w:ind w:firstLine="0"/>
        <w:jc w:val="both"/>
        <w:rPr>
          <w:rFonts w:ascii="Arial" w:hAnsi="Arial" w:cs="Arial"/>
        </w:rPr>
      </w:pPr>
      <w:r>
        <w:rPr>
          <w:rFonts w:ascii="Arial" w:hAnsi="Arial" w:cs="Arial"/>
        </w:rPr>
        <w:t>Valorar la</w:t>
      </w:r>
      <w:r w:rsidR="002E4B8A">
        <w:rPr>
          <w:rFonts w:ascii="Arial" w:hAnsi="Arial" w:cs="Arial"/>
        </w:rPr>
        <w:t xml:space="preserve"> viabilidad legal</w:t>
      </w:r>
      <w:r>
        <w:rPr>
          <w:rFonts w:ascii="Arial" w:hAnsi="Arial" w:cs="Arial"/>
        </w:rPr>
        <w:t xml:space="preserve"> </w:t>
      </w:r>
      <w:r w:rsidR="002E4B8A">
        <w:rPr>
          <w:rFonts w:ascii="Arial" w:hAnsi="Arial" w:cs="Arial"/>
        </w:rPr>
        <w:t xml:space="preserve">de la </w:t>
      </w:r>
      <w:r>
        <w:rPr>
          <w:rFonts w:ascii="Arial" w:hAnsi="Arial" w:cs="Arial"/>
        </w:rPr>
        <w:t>inclusión en</w:t>
      </w:r>
      <w:r w:rsidR="00294239" w:rsidRPr="00315FFD">
        <w:rPr>
          <w:rFonts w:ascii="Arial" w:hAnsi="Arial" w:cs="Arial"/>
        </w:rPr>
        <w:t xml:space="preserve"> el Manual de Operaciones del Proyecto</w:t>
      </w:r>
      <w:r w:rsidR="003834D4">
        <w:rPr>
          <w:rFonts w:ascii="Arial" w:hAnsi="Arial" w:cs="Arial"/>
        </w:rPr>
        <w:t xml:space="preserve"> actividades de control para incluir en </w:t>
      </w:r>
      <w:r w:rsidR="00294239">
        <w:rPr>
          <w:rFonts w:ascii="Arial" w:hAnsi="Arial" w:cs="Arial"/>
        </w:rPr>
        <w:t xml:space="preserve">las propuestas de borradores de contratos de </w:t>
      </w:r>
      <w:r w:rsidR="00294239">
        <w:rPr>
          <w:rFonts w:ascii="Arial" w:hAnsi="Arial" w:cs="Arial"/>
        </w:rPr>
        <w:lastRenderedPageBreak/>
        <w:t xml:space="preserve">préstamos, </w:t>
      </w:r>
      <w:r>
        <w:rPr>
          <w:rFonts w:ascii="Arial" w:hAnsi="Arial" w:cs="Arial"/>
        </w:rPr>
        <w:t xml:space="preserve">una cláusula </w:t>
      </w:r>
      <w:r w:rsidR="00294239">
        <w:rPr>
          <w:rFonts w:ascii="Arial" w:hAnsi="Arial" w:cs="Arial"/>
        </w:rPr>
        <w:t xml:space="preserve">o apartado </w:t>
      </w:r>
      <w:r>
        <w:rPr>
          <w:rFonts w:ascii="Arial" w:hAnsi="Arial" w:cs="Arial"/>
        </w:rPr>
        <w:t>que establezca la obligatoriedad de las Unidades Ejecut</w:t>
      </w:r>
      <w:r w:rsidR="0022792A">
        <w:rPr>
          <w:rFonts w:ascii="Arial" w:hAnsi="Arial" w:cs="Arial"/>
        </w:rPr>
        <w:t>o</w:t>
      </w:r>
      <w:r>
        <w:rPr>
          <w:rFonts w:ascii="Arial" w:hAnsi="Arial" w:cs="Arial"/>
        </w:rPr>
        <w:t>ras a cargo de los proyectos financiados</w:t>
      </w:r>
      <w:r w:rsidR="0022792A">
        <w:rPr>
          <w:rFonts w:ascii="Arial" w:hAnsi="Arial" w:cs="Arial"/>
        </w:rPr>
        <w:t>,</w:t>
      </w:r>
      <w:r>
        <w:rPr>
          <w:rFonts w:ascii="Arial" w:hAnsi="Arial" w:cs="Arial"/>
        </w:rPr>
        <w:t xml:space="preserve"> de cumplir con las recomendaciones emitidas por la Dirección de Crédito Público.</w:t>
      </w:r>
      <w:r w:rsidR="00030626" w:rsidRPr="00315FFD">
        <w:rPr>
          <w:rFonts w:ascii="Arial" w:hAnsi="Arial" w:cs="Arial"/>
        </w:rPr>
        <w:t xml:space="preserve"> </w:t>
      </w:r>
      <w:r w:rsidR="00315FFD" w:rsidRPr="00315FFD">
        <w:rPr>
          <w:rFonts w:ascii="Arial" w:hAnsi="Arial" w:cs="Arial"/>
        </w:rPr>
        <w:t>Ver apartado 2.3 de este informe.</w:t>
      </w:r>
    </w:p>
    <w:p w14:paraId="32A2A0FE" w14:textId="77777777" w:rsidR="00315FFD" w:rsidRPr="00315FFD" w:rsidRDefault="00315FFD" w:rsidP="00315FFD">
      <w:pPr>
        <w:spacing w:after="0" w:line="240" w:lineRule="auto"/>
        <w:jc w:val="both"/>
        <w:rPr>
          <w:rFonts w:ascii="Arial" w:hAnsi="Arial" w:cs="Arial"/>
          <w:color w:val="000000"/>
        </w:rPr>
      </w:pPr>
    </w:p>
    <w:p w14:paraId="529DC82A" w14:textId="553A24CD" w:rsidR="00315FFD" w:rsidRPr="00315FFD" w:rsidRDefault="00315FFD" w:rsidP="00315FFD">
      <w:pPr>
        <w:spacing w:after="0" w:line="240" w:lineRule="auto"/>
        <w:jc w:val="both"/>
        <w:rPr>
          <w:rFonts w:ascii="Arial" w:hAnsi="Arial" w:cs="Arial"/>
          <w:color w:val="000000"/>
        </w:rPr>
      </w:pPr>
      <w:r w:rsidRPr="00315FFD">
        <w:rPr>
          <w:rFonts w:ascii="Arial" w:hAnsi="Arial" w:cs="Arial"/>
          <w:color w:val="000000"/>
        </w:rPr>
        <w:t xml:space="preserve">Remitir a la Auditoría Interna a más tardar el </w:t>
      </w:r>
      <w:r w:rsidRPr="00315FFD">
        <w:rPr>
          <w:rFonts w:ascii="Arial" w:eastAsia="Times New Roman" w:hAnsi="Arial" w:cs="Arial"/>
          <w:color w:val="000000"/>
          <w:lang w:val="es-MX"/>
        </w:rPr>
        <w:t>30 de junio de 2023</w:t>
      </w:r>
      <w:r w:rsidRPr="00315FFD">
        <w:rPr>
          <w:rFonts w:ascii="Arial" w:hAnsi="Arial" w:cs="Arial"/>
          <w:color w:val="000000"/>
        </w:rPr>
        <w:t>, una certificación en donde se acredite el cumplimiento de lo recomendado, así como la evidencia respectiva.</w:t>
      </w:r>
    </w:p>
    <w:p w14:paraId="18348522" w14:textId="0D7C9483" w:rsidR="00FF634B" w:rsidRPr="00315FFD" w:rsidRDefault="00FF634B" w:rsidP="00315FFD">
      <w:pPr>
        <w:spacing w:after="0" w:line="240" w:lineRule="auto"/>
        <w:jc w:val="both"/>
        <w:rPr>
          <w:rFonts w:ascii="Arial" w:hAnsi="Arial" w:cs="Arial"/>
          <w:color w:val="000000"/>
        </w:rPr>
      </w:pPr>
    </w:p>
    <w:p w14:paraId="2CC47BFB" w14:textId="0B52000D" w:rsidR="009242E6" w:rsidRPr="00315FFD" w:rsidRDefault="00BF4244" w:rsidP="00315FFD">
      <w:pPr>
        <w:pStyle w:val="Prrafodelista"/>
        <w:numPr>
          <w:ilvl w:val="1"/>
          <w:numId w:val="24"/>
        </w:numPr>
        <w:spacing w:after="0" w:line="240" w:lineRule="auto"/>
        <w:ind w:firstLine="0"/>
        <w:jc w:val="both"/>
        <w:rPr>
          <w:rFonts w:ascii="Arial" w:hAnsi="Arial" w:cs="Arial"/>
          <w:color w:val="000000"/>
        </w:rPr>
      </w:pPr>
      <w:r>
        <w:rPr>
          <w:rFonts w:ascii="Arial" w:hAnsi="Arial" w:cs="Arial"/>
        </w:rPr>
        <w:t xml:space="preserve">Valorar </w:t>
      </w:r>
      <w:r w:rsidR="003834D4">
        <w:rPr>
          <w:rFonts w:ascii="Arial" w:hAnsi="Arial" w:cs="Arial"/>
        </w:rPr>
        <w:t xml:space="preserve">la incorporación </w:t>
      </w:r>
      <w:r>
        <w:rPr>
          <w:rFonts w:ascii="Arial" w:hAnsi="Arial" w:cs="Arial"/>
        </w:rPr>
        <w:t xml:space="preserve">en </w:t>
      </w:r>
      <w:r w:rsidR="003834D4">
        <w:rPr>
          <w:rFonts w:ascii="Arial" w:hAnsi="Arial" w:cs="Arial"/>
        </w:rPr>
        <w:t>los</w:t>
      </w:r>
      <w:r>
        <w:rPr>
          <w:rFonts w:ascii="Arial" w:hAnsi="Arial" w:cs="Arial"/>
        </w:rPr>
        <w:t xml:space="preserve"> procedimientos internos actividades de coordinación </w:t>
      </w:r>
      <w:r w:rsidR="0056727D">
        <w:rPr>
          <w:rFonts w:ascii="Arial" w:hAnsi="Arial" w:cs="Arial"/>
        </w:rPr>
        <w:t xml:space="preserve">y comunicación </w:t>
      </w:r>
      <w:r>
        <w:rPr>
          <w:rFonts w:ascii="Arial" w:hAnsi="Arial" w:cs="Arial"/>
        </w:rPr>
        <w:t xml:space="preserve">con </w:t>
      </w:r>
      <w:r w:rsidR="00030626" w:rsidRPr="00315FFD">
        <w:rPr>
          <w:rFonts w:ascii="Arial" w:hAnsi="Arial" w:cs="Arial"/>
        </w:rPr>
        <w:t xml:space="preserve">las Auditorías Internas </w:t>
      </w:r>
      <w:r>
        <w:rPr>
          <w:rFonts w:ascii="Arial" w:hAnsi="Arial" w:cs="Arial"/>
        </w:rPr>
        <w:t xml:space="preserve">respectivas </w:t>
      </w:r>
      <w:r w:rsidR="00FF634B" w:rsidRPr="00315FFD">
        <w:rPr>
          <w:rFonts w:ascii="Arial" w:hAnsi="Arial" w:cs="Arial"/>
        </w:rPr>
        <w:t>de las</w:t>
      </w:r>
      <w:r w:rsidR="00030626" w:rsidRPr="00315FFD">
        <w:rPr>
          <w:rFonts w:ascii="Arial" w:hAnsi="Arial" w:cs="Arial"/>
        </w:rPr>
        <w:t xml:space="preserve"> </w:t>
      </w:r>
      <w:r w:rsidR="00315FFD" w:rsidRPr="00315FFD">
        <w:rPr>
          <w:rFonts w:ascii="Arial" w:hAnsi="Arial" w:cs="Arial"/>
        </w:rPr>
        <w:t xml:space="preserve">entidades relacionadas con las </w:t>
      </w:r>
      <w:r w:rsidR="00030626" w:rsidRPr="00315FFD">
        <w:rPr>
          <w:rFonts w:ascii="Arial" w:hAnsi="Arial" w:cs="Arial"/>
        </w:rPr>
        <w:t>Unidades Ejecutoras</w:t>
      </w:r>
      <w:r w:rsidR="00294239">
        <w:rPr>
          <w:rFonts w:ascii="Arial" w:hAnsi="Arial" w:cs="Arial"/>
        </w:rPr>
        <w:t>,</w:t>
      </w:r>
      <w:r>
        <w:rPr>
          <w:rFonts w:ascii="Arial" w:hAnsi="Arial" w:cs="Arial"/>
        </w:rPr>
        <w:t xml:space="preserve"> para poner en su conocimiento los informes de seguimiento del </w:t>
      </w:r>
      <w:r w:rsidR="0056727D">
        <w:rPr>
          <w:rFonts w:ascii="Arial" w:hAnsi="Arial" w:cs="Arial"/>
        </w:rPr>
        <w:t xml:space="preserve">avance de los proyectos de inversión financiados, con el fin de que dichos entes de fiscalización lo puedan utilizar como insumo en sus servicios de auditoría. </w:t>
      </w:r>
      <w:r w:rsidR="009242E6" w:rsidRPr="00315FFD">
        <w:rPr>
          <w:rFonts w:ascii="Arial" w:hAnsi="Arial" w:cs="Arial"/>
        </w:rPr>
        <w:t xml:space="preserve">Ver apartado </w:t>
      </w:r>
      <w:r w:rsidR="00FF34CD" w:rsidRPr="00315FFD">
        <w:rPr>
          <w:rFonts w:ascii="Arial" w:hAnsi="Arial" w:cs="Arial"/>
        </w:rPr>
        <w:t>2.3</w:t>
      </w:r>
      <w:r w:rsidR="009242E6" w:rsidRPr="00315FFD">
        <w:rPr>
          <w:rFonts w:ascii="Arial" w:hAnsi="Arial" w:cs="Arial"/>
        </w:rPr>
        <w:t xml:space="preserve"> de este informe.</w:t>
      </w:r>
    </w:p>
    <w:p w14:paraId="08D50A01" w14:textId="77777777" w:rsidR="00CA1B87" w:rsidRDefault="00CA1B87" w:rsidP="00CA1B87">
      <w:pPr>
        <w:pStyle w:val="Prrafodelista"/>
        <w:spacing w:after="0" w:line="240" w:lineRule="auto"/>
        <w:jc w:val="both"/>
        <w:rPr>
          <w:rFonts w:ascii="Arial" w:hAnsi="Arial" w:cs="Arial"/>
          <w:color w:val="000000"/>
        </w:rPr>
      </w:pPr>
    </w:p>
    <w:p w14:paraId="6FED7638" w14:textId="5255C8FD" w:rsidR="00CA1B87" w:rsidRPr="00FA160F" w:rsidRDefault="00CA1B87" w:rsidP="00FA160F">
      <w:pPr>
        <w:spacing w:after="0" w:line="240" w:lineRule="auto"/>
        <w:jc w:val="both"/>
        <w:rPr>
          <w:rFonts w:ascii="Arial" w:hAnsi="Arial" w:cs="Arial"/>
          <w:color w:val="000000"/>
        </w:rPr>
      </w:pPr>
      <w:r w:rsidRPr="00FA160F">
        <w:rPr>
          <w:rFonts w:ascii="Arial" w:hAnsi="Arial" w:cs="Arial"/>
          <w:color w:val="000000"/>
        </w:rPr>
        <w:t xml:space="preserve">Remitir a la Auditoría Interna a más tardar </w:t>
      </w:r>
      <w:r w:rsidR="00315FFD" w:rsidRPr="00FF34CD">
        <w:rPr>
          <w:rFonts w:ascii="Arial" w:hAnsi="Arial" w:cs="Arial"/>
          <w:color w:val="000000"/>
        </w:rPr>
        <w:t xml:space="preserve">el </w:t>
      </w:r>
      <w:r w:rsidR="00315FFD" w:rsidRPr="00FF34CD">
        <w:rPr>
          <w:rFonts w:ascii="Arial" w:eastAsia="Times New Roman" w:hAnsi="Arial" w:cs="Arial"/>
          <w:color w:val="000000"/>
          <w:lang w:val="es-MX"/>
        </w:rPr>
        <w:t>30 de junio de 2023</w:t>
      </w:r>
      <w:r w:rsidR="006D6172">
        <w:rPr>
          <w:rFonts w:ascii="Arial" w:hAnsi="Arial" w:cs="Arial"/>
          <w:color w:val="000000"/>
        </w:rPr>
        <w:t>,</w:t>
      </w:r>
      <w:r w:rsidRPr="00FA160F">
        <w:rPr>
          <w:rFonts w:ascii="Arial" w:hAnsi="Arial" w:cs="Arial"/>
          <w:color w:val="000000"/>
        </w:rPr>
        <w:t xml:space="preserve"> una certificación en donde</w:t>
      </w:r>
      <w:r w:rsidR="00BC27D1">
        <w:rPr>
          <w:rFonts w:ascii="Arial" w:hAnsi="Arial" w:cs="Arial"/>
          <w:color w:val="000000"/>
        </w:rPr>
        <w:t xml:space="preserve"> </w:t>
      </w:r>
      <w:r w:rsidRPr="00FA160F">
        <w:rPr>
          <w:rFonts w:ascii="Arial" w:hAnsi="Arial" w:cs="Arial"/>
          <w:color w:val="000000"/>
        </w:rPr>
        <w:t>se acredite el cumplimiento de lo recomendado, así como la evidencia respectiva.</w:t>
      </w:r>
    </w:p>
    <w:p w14:paraId="03DD227B" w14:textId="77777777" w:rsidR="00801429" w:rsidRPr="00D974B5" w:rsidRDefault="00801429" w:rsidP="008711A9">
      <w:pPr>
        <w:spacing w:after="0" w:line="240" w:lineRule="auto"/>
        <w:ind w:right="22"/>
        <w:contextualSpacing/>
        <w:jc w:val="both"/>
        <w:rPr>
          <w:rFonts w:ascii="Arial" w:hAnsi="Arial" w:cs="Arial"/>
        </w:rPr>
      </w:pPr>
    </w:p>
    <w:p w14:paraId="1E81DBA7" w14:textId="339C320C" w:rsidR="00F17E01" w:rsidRDefault="00801429" w:rsidP="00F17E01">
      <w:pPr>
        <w:autoSpaceDE w:val="0"/>
        <w:autoSpaceDN w:val="0"/>
        <w:jc w:val="both"/>
        <w:rPr>
          <w:rFonts w:ascii="Arial" w:hAnsi="Arial" w:cs="Arial"/>
        </w:rPr>
      </w:pPr>
      <w:r w:rsidRPr="00D974B5">
        <w:rPr>
          <w:rFonts w:ascii="Arial" w:hAnsi="Arial" w:cs="Arial"/>
        </w:rPr>
        <w:t>Con base en lo anterior, se le solicita a esa Dirección proceder conforme lo dispone el artículo 36 de la Ley 8292 Ley General de Control Interno y la aplicación del Manual para la atención de informes de la Contraloría General de la República y de la Auditoría Interna, comunicando a esta Dirección las decisiones que se tomen respecto al presente informe, dentro del plazo de 10 días hábiles establecido en el citado artículo, así como presentar en un plazo razonable el plan de acción que se defina para la implementación efectiva de lo recomendado.</w:t>
      </w:r>
      <w:r w:rsidR="00F17E01" w:rsidRPr="00F17E01">
        <w:rPr>
          <w:rFonts w:ascii="Arial" w:hAnsi="Arial" w:cs="Arial"/>
          <w:color w:val="000000"/>
        </w:rPr>
        <w:t xml:space="preserve"> </w:t>
      </w:r>
    </w:p>
    <w:p w14:paraId="30E25C07" w14:textId="77777777" w:rsidR="006C2981" w:rsidRDefault="006C2981" w:rsidP="008711A9">
      <w:pPr>
        <w:spacing w:after="0" w:line="240" w:lineRule="auto"/>
        <w:ind w:right="22"/>
        <w:contextualSpacing/>
        <w:jc w:val="both"/>
        <w:rPr>
          <w:rFonts w:ascii="Arial" w:hAnsi="Arial" w:cs="Arial"/>
        </w:rPr>
      </w:pPr>
    </w:p>
    <w:p w14:paraId="76F148CA" w14:textId="77777777" w:rsidR="006C2981" w:rsidRDefault="006C2981" w:rsidP="008711A9">
      <w:pPr>
        <w:spacing w:after="0" w:line="240" w:lineRule="auto"/>
        <w:ind w:right="22"/>
        <w:contextualSpacing/>
        <w:jc w:val="both"/>
        <w:rPr>
          <w:rFonts w:ascii="Arial" w:hAnsi="Arial" w:cs="Arial"/>
        </w:rPr>
      </w:pPr>
    </w:p>
    <w:p w14:paraId="21825BD4" w14:textId="77777777" w:rsidR="00726B03" w:rsidRPr="00D974B5" w:rsidRDefault="00726B03" w:rsidP="008711A9">
      <w:pPr>
        <w:spacing w:after="0" w:line="240" w:lineRule="auto"/>
        <w:ind w:right="22"/>
        <w:contextualSpacing/>
        <w:jc w:val="both"/>
        <w:rPr>
          <w:rFonts w:ascii="Arial" w:hAnsi="Arial" w:cs="Arial"/>
        </w:rPr>
      </w:pPr>
    </w:p>
    <w:p w14:paraId="2109A3F7" w14:textId="77777777" w:rsidR="00801429" w:rsidRPr="00D974B5" w:rsidRDefault="00801429" w:rsidP="008711A9">
      <w:pPr>
        <w:spacing w:after="0" w:line="240" w:lineRule="auto"/>
        <w:ind w:right="22"/>
        <w:contextualSpacing/>
        <w:jc w:val="both"/>
        <w:rPr>
          <w:rFonts w:ascii="Arial" w:hAnsi="Arial" w:cs="Arial"/>
        </w:rPr>
      </w:pPr>
    </w:p>
    <w:p w14:paraId="09E40D4E" w14:textId="77777777" w:rsidR="00E52F90" w:rsidRPr="00D974B5" w:rsidRDefault="00E52F90" w:rsidP="008711A9">
      <w:pPr>
        <w:spacing w:after="0" w:line="240" w:lineRule="auto"/>
        <w:contextualSpacing/>
        <w:jc w:val="center"/>
        <w:rPr>
          <w:rFonts w:ascii="Arial" w:hAnsi="Arial" w:cs="Arial"/>
          <w:lang w:val="pt-BR"/>
        </w:rPr>
      </w:pPr>
      <w:r w:rsidRPr="00D974B5">
        <w:rPr>
          <w:rFonts w:ascii="Arial" w:hAnsi="Arial" w:cs="Arial"/>
          <w:lang w:val="pt-BR"/>
        </w:rPr>
        <w:t>Ronald Fernández Romero</w:t>
      </w:r>
    </w:p>
    <w:p w14:paraId="0CDF2342" w14:textId="77777777" w:rsidR="009242E6" w:rsidRPr="00D974B5" w:rsidRDefault="00E52F90" w:rsidP="009242E6">
      <w:pPr>
        <w:spacing w:after="0" w:line="240" w:lineRule="auto"/>
        <w:contextualSpacing/>
        <w:jc w:val="center"/>
        <w:rPr>
          <w:rFonts w:ascii="Arial" w:hAnsi="Arial" w:cs="Arial"/>
          <w:b/>
          <w:bCs/>
        </w:rPr>
      </w:pPr>
      <w:r w:rsidRPr="00D974B5">
        <w:rPr>
          <w:rFonts w:ascii="Arial" w:hAnsi="Arial" w:cs="Arial"/>
          <w:b/>
          <w:bCs/>
          <w:lang w:val="pt-BR"/>
        </w:rPr>
        <w:t>Director</w:t>
      </w:r>
    </w:p>
    <w:p w14:paraId="67585E1C" w14:textId="77777777" w:rsidR="00E52F90" w:rsidRDefault="00E52F90" w:rsidP="008711A9">
      <w:pPr>
        <w:spacing w:after="0" w:line="240" w:lineRule="auto"/>
        <w:contextualSpacing/>
        <w:jc w:val="center"/>
        <w:rPr>
          <w:rFonts w:ascii="Arial" w:hAnsi="Arial" w:cs="Arial"/>
          <w:b/>
          <w:bCs/>
        </w:rPr>
      </w:pPr>
    </w:p>
    <w:p w14:paraId="441F4EC9" w14:textId="77777777" w:rsidR="006B52AB" w:rsidRDefault="006B52AB" w:rsidP="008711A9">
      <w:pPr>
        <w:spacing w:after="0" w:line="240" w:lineRule="auto"/>
        <w:contextualSpacing/>
        <w:jc w:val="center"/>
        <w:rPr>
          <w:rFonts w:ascii="Arial" w:hAnsi="Arial" w:cs="Arial"/>
          <w:b/>
          <w:bCs/>
        </w:rPr>
      </w:pPr>
    </w:p>
    <w:p w14:paraId="001E3D1B" w14:textId="77777777" w:rsidR="006B52AB" w:rsidRDefault="006B52AB" w:rsidP="008711A9">
      <w:pPr>
        <w:spacing w:after="0" w:line="240" w:lineRule="auto"/>
        <w:contextualSpacing/>
        <w:jc w:val="center"/>
        <w:rPr>
          <w:rFonts w:ascii="Arial" w:hAnsi="Arial" w:cs="Arial"/>
          <w:b/>
          <w:bCs/>
        </w:rPr>
      </w:pPr>
    </w:p>
    <w:p w14:paraId="231ADE3F" w14:textId="77777777" w:rsidR="006B52AB" w:rsidRPr="00D974B5" w:rsidRDefault="006B52AB" w:rsidP="008711A9">
      <w:pPr>
        <w:spacing w:after="0" w:line="240" w:lineRule="auto"/>
        <w:contextualSpacing/>
        <w:jc w:val="center"/>
        <w:rPr>
          <w:rFonts w:ascii="Arial" w:hAnsi="Arial" w:cs="Arial"/>
          <w:b/>
          <w:bCs/>
        </w:rPr>
      </w:pPr>
    </w:p>
    <w:p w14:paraId="58CCDB85" w14:textId="77777777" w:rsidR="00E52F90" w:rsidRPr="00D974B5" w:rsidRDefault="00E52F90" w:rsidP="008711A9">
      <w:pPr>
        <w:spacing w:after="0" w:line="240" w:lineRule="auto"/>
        <w:contextualSpacing/>
        <w:jc w:val="center"/>
        <w:rPr>
          <w:rFonts w:ascii="Arial" w:hAnsi="Arial" w:cs="Arial"/>
          <w:lang w:val="pt-BR"/>
        </w:rPr>
      </w:pPr>
    </w:p>
    <w:p w14:paraId="460E743A" w14:textId="77777777" w:rsidR="00E52F90" w:rsidRPr="00D974B5" w:rsidRDefault="00E52F90" w:rsidP="008711A9">
      <w:pPr>
        <w:pStyle w:val="Listaconnmeros"/>
        <w:spacing w:after="0" w:afterAutospacing="0"/>
        <w:rPr>
          <w:sz w:val="22"/>
          <w:szCs w:val="22"/>
          <w:lang w:val="pt-BR"/>
        </w:rPr>
      </w:pPr>
    </w:p>
    <w:tbl>
      <w:tblPr>
        <w:tblW w:w="4588" w:type="pct"/>
        <w:jc w:val="center"/>
        <w:tblLook w:val="01E0" w:firstRow="1" w:lastRow="1" w:firstColumn="1" w:lastColumn="1" w:noHBand="0" w:noVBand="0"/>
      </w:tblPr>
      <w:tblGrid>
        <w:gridCol w:w="4044"/>
        <w:gridCol w:w="4066"/>
      </w:tblGrid>
      <w:tr w:rsidR="006B52AB" w:rsidRPr="00D974B5" w14:paraId="5D454714" w14:textId="77777777" w:rsidTr="006B52AB">
        <w:trPr>
          <w:trHeight w:val="913"/>
          <w:jc w:val="center"/>
        </w:trPr>
        <w:tc>
          <w:tcPr>
            <w:tcW w:w="2493" w:type="pct"/>
            <w:vAlign w:val="center"/>
            <w:hideMark/>
          </w:tcPr>
          <w:p w14:paraId="338DB907" w14:textId="77777777" w:rsidR="006B52AB" w:rsidRPr="00D974B5" w:rsidRDefault="006B52AB" w:rsidP="006B52AB">
            <w:pPr>
              <w:spacing w:after="0" w:line="240" w:lineRule="auto"/>
              <w:ind w:left="-923" w:right="23"/>
              <w:jc w:val="center"/>
              <w:rPr>
                <w:rFonts w:ascii="Arial" w:hAnsi="Arial" w:cs="Arial"/>
              </w:rPr>
            </w:pPr>
            <w:r>
              <w:rPr>
                <w:rFonts w:ascii="Arial" w:hAnsi="Arial" w:cs="Arial"/>
              </w:rPr>
              <w:t>Walter Lobo Ramírez</w:t>
            </w:r>
          </w:p>
          <w:p w14:paraId="5F0000DB" w14:textId="77777777" w:rsidR="006B52AB" w:rsidRPr="00D974B5" w:rsidRDefault="006B52AB" w:rsidP="003463C6">
            <w:pPr>
              <w:spacing w:after="0" w:line="240" w:lineRule="auto"/>
              <w:ind w:left="-297" w:right="22"/>
              <w:jc w:val="center"/>
              <w:rPr>
                <w:rFonts w:ascii="Arial" w:hAnsi="Arial" w:cs="Arial"/>
                <w:b/>
              </w:rPr>
            </w:pPr>
            <w:r w:rsidRPr="00D974B5">
              <w:rPr>
                <w:rFonts w:ascii="Arial" w:hAnsi="Arial" w:cs="Arial"/>
                <w:b/>
              </w:rPr>
              <w:t>Profesional de Auditoría Interna 3</w:t>
            </w:r>
          </w:p>
        </w:tc>
        <w:tc>
          <w:tcPr>
            <w:tcW w:w="2507" w:type="pct"/>
            <w:vAlign w:val="center"/>
            <w:hideMark/>
          </w:tcPr>
          <w:p w14:paraId="1E2DBE0F" w14:textId="77777777" w:rsidR="006B52AB" w:rsidRPr="00D974B5" w:rsidRDefault="006B52AB" w:rsidP="003463C6">
            <w:pPr>
              <w:spacing w:after="0" w:line="240" w:lineRule="auto"/>
              <w:ind w:right="23"/>
              <w:jc w:val="center"/>
              <w:rPr>
                <w:rFonts w:ascii="Arial" w:hAnsi="Arial" w:cs="Arial"/>
              </w:rPr>
            </w:pPr>
            <w:r w:rsidRPr="00D974B5">
              <w:rPr>
                <w:rFonts w:ascii="Arial" w:hAnsi="Arial" w:cs="Arial"/>
              </w:rPr>
              <w:t>Natalia Mora Sánchez</w:t>
            </w:r>
          </w:p>
          <w:p w14:paraId="5BE0F986" w14:textId="77777777" w:rsidR="006B52AB" w:rsidRDefault="006B52AB" w:rsidP="003463C6">
            <w:pPr>
              <w:spacing w:after="0" w:line="240" w:lineRule="auto"/>
              <w:ind w:right="22"/>
              <w:jc w:val="center"/>
              <w:rPr>
                <w:rFonts w:ascii="Arial" w:hAnsi="Arial" w:cs="Arial"/>
                <w:b/>
              </w:rPr>
            </w:pPr>
            <w:r w:rsidRPr="00D974B5">
              <w:rPr>
                <w:rFonts w:ascii="Arial" w:hAnsi="Arial" w:cs="Arial"/>
                <w:b/>
              </w:rPr>
              <w:t>Coordinador</w:t>
            </w:r>
            <w:r>
              <w:rPr>
                <w:rFonts w:ascii="Arial" w:hAnsi="Arial" w:cs="Arial"/>
                <w:b/>
              </w:rPr>
              <w:t>a</w:t>
            </w:r>
            <w:r w:rsidRPr="00D974B5">
              <w:rPr>
                <w:rFonts w:ascii="Arial" w:hAnsi="Arial" w:cs="Arial"/>
                <w:b/>
              </w:rPr>
              <w:t xml:space="preserve"> </w:t>
            </w:r>
            <w:r>
              <w:rPr>
                <w:rFonts w:ascii="Arial" w:hAnsi="Arial" w:cs="Arial"/>
                <w:b/>
              </w:rPr>
              <w:t>Unidad</w:t>
            </w:r>
            <w:r w:rsidRPr="00D974B5">
              <w:rPr>
                <w:rFonts w:ascii="Arial" w:hAnsi="Arial" w:cs="Arial"/>
                <w:b/>
              </w:rPr>
              <w:t xml:space="preserve"> </w:t>
            </w:r>
            <w:r>
              <w:rPr>
                <w:rFonts w:ascii="Arial" w:hAnsi="Arial" w:cs="Arial"/>
                <w:b/>
              </w:rPr>
              <w:t xml:space="preserve">de </w:t>
            </w:r>
            <w:r w:rsidRPr="00D974B5">
              <w:rPr>
                <w:rFonts w:ascii="Arial" w:hAnsi="Arial" w:cs="Arial"/>
                <w:b/>
              </w:rPr>
              <w:t>Auditoría</w:t>
            </w:r>
          </w:p>
          <w:p w14:paraId="60D16CBC" w14:textId="77777777" w:rsidR="006B52AB" w:rsidRPr="00D974B5" w:rsidRDefault="006B52AB" w:rsidP="003463C6">
            <w:pPr>
              <w:spacing w:after="0" w:line="240" w:lineRule="auto"/>
              <w:ind w:right="22"/>
              <w:jc w:val="center"/>
              <w:rPr>
                <w:rFonts w:ascii="Arial" w:hAnsi="Arial" w:cs="Arial"/>
              </w:rPr>
            </w:pPr>
            <w:r w:rsidRPr="00D974B5">
              <w:rPr>
                <w:rFonts w:ascii="Arial" w:hAnsi="Arial" w:cs="Arial"/>
                <w:b/>
              </w:rPr>
              <w:t>Estudios Especiales</w:t>
            </w:r>
          </w:p>
        </w:tc>
      </w:tr>
    </w:tbl>
    <w:p w14:paraId="45C4C1DA" w14:textId="77777777" w:rsidR="00E52F90" w:rsidRPr="00D974B5" w:rsidRDefault="00E52F90" w:rsidP="008711A9">
      <w:pPr>
        <w:spacing w:after="0" w:line="240" w:lineRule="auto"/>
        <w:contextualSpacing/>
        <w:jc w:val="center"/>
        <w:rPr>
          <w:rFonts w:ascii="Arial" w:hAnsi="Arial" w:cs="Arial"/>
          <w:lang w:val="pt-BR"/>
        </w:rPr>
      </w:pPr>
    </w:p>
    <w:p w14:paraId="284D9E24" w14:textId="77777777" w:rsidR="00801429" w:rsidRPr="00D974B5" w:rsidRDefault="00801429" w:rsidP="008711A9">
      <w:pPr>
        <w:spacing w:after="0" w:line="240" w:lineRule="auto"/>
        <w:ind w:right="22"/>
        <w:contextualSpacing/>
        <w:jc w:val="both"/>
        <w:rPr>
          <w:rFonts w:ascii="Arial" w:hAnsi="Arial" w:cs="Arial"/>
        </w:rPr>
      </w:pPr>
    </w:p>
    <w:p w14:paraId="1433233C" w14:textId="77777777" w:rsidR="009240C5" w:rsidRDefault="009240C5" w:rsidP="008711A9">
      <w:pPr>
        <w:spacing w:after="0" w:line="240" w:lineRule="auto"/>
        <w:ind w:right="23"/>
        <w:contextualSpacing/>
        <w:rPr>
          <w:rFonts w:ascii="Arial" w:hAnsi="Arial" w:cs="Arial"/>
          <w:sz w:val="18"/>
        </w:rPr>
      </w:pPr>
    </w:p>
    <w:p w14:paraId="08DB77DD" w14:textId="77777777" w:rsidR="00801429" w:rsidRPr="00E52F90" w:rsidRDefault="00801429" w:rsidP="008711A9">
      <w:pPr>
        <w:spacing w:after="0" w:line="240" w:lineRule="auto"/>
        <w:ind w:right="23"/>
        <w:contextualSpacing/>
        <w:rPr>
          <w:rFonts w:ascii="Arial" w:hAnsi="Arial" w:cs="Arial"/>
          <w:sz w:val="18"/>
        </w:rPr>
      </w:pPr>
      <w:r w:rsidRPr="00E52F90">
        <w:rPr>
          <w:rFonts w:ascii="Arial" w:hAnsi="Arial" w:cs="Arial"/>
          <w:sz w:val="18"/>
        </w:rPr>
        <w:t>Estudio Nº 0</w:t>
      </w:r>
      <w:r w:rsidR="009242E6">
        <w:rPr>
          <w:rFonts w:ascii="Arial" w:hAnsi="Arial" w:cs="Arial"/>
          <w:sz w:val="18"/>
        </w:rPr>
        <w:t>29</w:t>
      </w:r>
      <w:r w:rsidRPr="00E52F90">
        <w:rPr>
          <w:rFonts w:ascii="Arial" w:hAnsi="Arial" w:cs="Arial"/>
          <w:sz w:val="18"/>
        </w:rPr>
        <w:t>-202</w:t>
      </w:r>
      <w:r w:rsidR="004C3BEF" w:rsidRPr="00E52F90">
        <w:rPr>
          <w:rFonts w:ascii="Arial" w:hAnsi="Arial" w:cs="Arial"/>
          <w:sz w:val="18"/>
        </w:rPr>
        <w:t>2</w:t>
      </w:r>
    </w:p>
    <w:p w14:paraId="6691FC33" w14:textId="77777777" w:rsidR="00801429" w:rsidRDefault="00801429" w:rsidP="008711A9">
      <w:pPr>
        <w:spacing w:after="0" w:line="240" w:lineRule="auto"/>
        <w:rPr>
          <w:rFonts w:ascii="Arial" w:hAnsi="Arial" w:cs="Arial"/>
          <w:sz w:val="24"/>
          <w:szCs w:val="24"/>
        </w:rPr>
      </w:pPr>
    </w:p>
    <w:p w14:paraId="09852319" w14:textId="32DAE18E" w:rsidR="00801429" w:rsidRDefault="00801429" w:rsidP="008711A9">
      <w:pPr>
        <w:spacing w:after="0" w:line="240" w:lineRule="auto"/>
        <w:rPr>
          <w:rFonts w:ascii="Arial" w:hAnsi="Arial" w:cs="Arial"/>
          <w:sz w:val="24"/>
          <w:szCs w:val="24"/>
        </w:rPr>
      </w:pPr>
    </w:p>
    <w:p w14:paraId="120BD12A" w14:textId="6A640428" w:rsidR="007A6C3A" w:rsidRDefault="007A6C3A" w:rsidP="008711A9">
      <w:pPr>
        <w:spacing w:after="0" w:line="240" w:lineRule="auto"/>
        <w:rPr>
          <w:rFonts w:ascii="Arial" w:hAnsi="Arial" w:cs="Arial"/>
          <w:sz w:val="24"/>
          <w:szCs w:val="24"/>
        </w:rPr>
      </w:pPr>
    </w:p>
    <w:p w14:paraId="1A0072D0" w14:textId="77777777" w:rsidR="007A6C3A" w:rsidRDefault="007A6C3A" w:rsidP="008711A9">
      <w:pPr>
        <w:spacing w:after="0" w:line="240" w:lineRule="auto"/>
        <w:rPr>
          <w:rFonts w:ascii="Arial" w:hAnsi="Arial" w:cs="Arial"/>
          <w:sz w:val="24"/>
          <w:szCs w:val="24"/>
        </w:rPr>
      </w:pPr>
      <w:bookmarkStart w:id="82" w:name="_GoBack"/>
      <w:bookmarkEnd w:id="82"/>
    </w:p>
    <w:p w14:paraId="40D79699" w14:textId="77777777" w:rsidR="00BB6CF3" w:rsidRPr="00BB6CF3" w:rsidRDefault="00BB6CF3" w:rsidP="00BB6CF3">
      <w:pPr>
        <w:pStyle w:val="Ttulo1"/>
        <w:keepNext w:val="0"/>
        <w:keepLines w:val="0"/>
        <w:spacing w:before="0" w:after="0"/>
        <w:ind w:left="431"/>
        <w:contextualSpacing/>
        <w:jc w:val="center"/>
        <w:rPr>
          <w:rFonts w:ascii="Arial" w:hAnsi="Arial" w:cs="Arial"/>
          <w:b/>
          <w:bCs/>
          <w:color w:val="44546A" w:themeColor="text2"/>
          <w:kern w:val="28"/>
          <w:sz w:val="24"/>
          <w:szCs w:val="24"/>
          <w:lang w:eastAsia="es-ES"/>
        </w:rPr>
      </w:pPr>
      <w:bookmarkStart w:id="83" w:name="_Toc113032670"/>
      <w:bookmarkStart w:id="84" w:name="_Toc131075275"/>
      <w:r w:rsidRPr="00BB6CF3">
        <w:rPr>
          <w:rFonts w:ascii="Arial" w:hAnsi="Arial" w:cs="Arial"/>
          <w:b/>
          <w:bCs/>
          <w:color w:val="44546A" w:themeColor="text2"/>
          <w:kern w:val="28"/>
          <w:sz w:val="24"/>
          <w:szCs w:val="24"/>
          <w:lang w:eastAsia="es-ES"/>
        </w:rPr>
        <w:lastRenderedPageBreak/>
        <w:t>ANEXO N°1</w:t>
      </w:r>
      <w:bookmarkEnd w:id="83"/>
      <w:bookmarkEnd w:id="84"/>
    </w:p>
    <w:p w14:paraId="29B9425A" w14:textId="77777777" w:rsidR="00BB6CF3" w:rsidRPr="00BB6CF3" w:rsidRDefault="00BB6CF3" w:rsidP="00BB6CF3">
      <w:pPr>
        <w:autoSpaceDE w:val="0"/>
        <w:autoSpaceDN w:val="0"/>
        <w:adjustRightInd w:val="0"/>
        <w:spacing w:after="0"/>
        <w:jc w:val="center"/>
        <w:rPr>
          <w:rFonts w:ascii="Arial" w:eastAsiaTheme="minorEastAsia" w:hAnsi="Arial" w:cs="Arial"/>
          <w:b/>
          <w:bCs/>
          <w:color w:val="44546A" w:themeColor="text2"/>
          <w:sz w:val="24"/>
          <w:lang w:eastAsia="es-ES"/>
        </w:rPr>
      </w:pPr>
      <w:r w:rsidRPr="00BB6CF3">
        <w:rPr>
          <w:rFonts w:ascii="Arial" w:eastAsiaTheme="minorEastAsia" w:hAnsi="Arial" w:cs="Arial"/>
          <w:b/>
          <w:bCs/>
          <w:color w:val="44546A" w:themeColor="text2"/>
          <w:sz w:val="24"/>
          <w:lang w:eastAsia="es-ES"/>
        </w:rPr>
        <w:t>COMENTARIOS RECIBIDOS DURANTE LA COMUNICACIÓN DE RESULTADOS</w:t>
      </w:r>
    </w:p>
    <w:p w14:paraId="43333735" w14:textId="77777777" w:rsidR="00BB6CF3" w:rsidRPr="00A5000E" w:rsidRDefault="00BB6CF3" w:rsidP="00BB6CF3">
      <w:pPr>
        <w:autoSpaceDE w:val="0"/>
        <w:autoSpaceDN w:val="0"/>
        <w:adjustRightInd w:val="0"/>
        <w:spacing w:after="0"/>
        <w:jc w:val="center"/>
        <w:rPr>
          <w:rFonts w:ascii="Arial" w:eastAsiaTheme="minorEastAsia" w:hAnsi="Arial" w:cs="Arial"/>
          <w:b/>
          <w:bCs/>
          <w:color w:val="44546A" w:themeColor="text2"/>
          <w:lang w:eastAsia="es-ES"/>
        </w:rPr>
      </w:pPr>
    </w:p>
    <w:tbl>
      <w:tblPr>
        <w:tblW w:w="0" w:type="auto"/>
        <w:tblCellMar>
          <w:left w:w="0" w:type="dxa"/>
          <w:right w:w="0" w:type="dxa"/>
        </w:tblCellMar>
        <w:tblLook w:val="04A0" w:firstRow="1" w:lastRow="0" w:firstColumn="1" w:lastColumn="0" w:noHBand="0" w:noVBand="1"/>
      </w:tblPr>
      <w:tblGrid>
        <w:gridCol w:w="4411"/>
        <w:gridCol w:w="4407"/>
      </w:tblGrid>
      <w:tr w:rsidR="00BB6CF3" w:rsidRPr="00A5000E" w14:paraId="2F41F1BE" w14:textId="77777777" w:rsidTr="00FF34CD">
        <w:trPr>
          <w:trHeight w:val="548"/>
          <w:tblHeader/>
        </w:trPr>
        <w:tc>
          <w:tcPr>
            <w:tcW w:w="4411" w:type="dxa"/>
            <w:tcBorders>
              <w:top w:val="single" w:sz="8" w:space="0" w:color="000000"/>
              <w:left w:val="single" w:sz="8" w:space="0" w:color="000000"/>
              <w:bottom w:val="single" w:sz="8" w:space="0" w:color="000000"/>
              <w:right w:val="single" w:sz="8" w:space="0" w:color="000000"/>
            </w:tcBorders>
            <w:shd w:val="clear" w:color="auto" w:fill="44546A" w:themeFill="text2"/>
            <w:tcMar>
              <w:top w:w="0" w:type="dxa"/>
              <w:left w:w="108" w:type="dxa"/>
              <w:bottom w:w="0" w:type="dxa"/>
              <w:right w:w="108" w:type="dxa"/>
            </w:tcMar>
            <w:vAlign w:val="center"/>
            <w:hideMark/>
          </w:tcPr>
          <w:p w14:paraId="1ED9D528" w14:textId="77777777" w:rsidR="00BB6CF3" w:rsidRPr="007D03C1" w:rsidRDefault="00BB6CF3" w:rsidP="00FF34CD">
            <w:pPr>
              <w:spacing w:after="0"/>
              <w:jc w:val="center"/>
              <w:rPr>
                <w:rFonts w:ascii="Arial" w:eastAsiaTheme="minorEastAsia" w:hAnsi="Arial" w:cs="Arial"/>
                <w:b/>
                <w:bCs/>
                <w:color w:val="FFFFFF" w:themeColor="background1"/>
                <w:lang w:eastAsia="es-CR"/>
              </w:rPr>
            </w:pPr>
            <w:r w:rsidRPr="007D03C1">
              <w:rPr>
                <w:rFonts w:ascii="Arial" w:eastAsiaTheme="minorEastAsia" w:hAnsi="Arial" w:cs="Arial"/>
                <w:b/>
                <w:bCs/>
                <w:color w:val="FFFFFF" w:themeColor="background1"/>
                <w:lang w:eastAsia="es-CR"/>
              </w:rPr>
              <w:t>Comentarios</w:t>
            </w:r>
          </w:p>
        </w:tc>
        <w:tc>
          <w:tcPr>
            <w:tcW w:w="4407" w:type="dxa"/>
            <w:tcBorders>
              <w:top w:val="single" w:sz="8" w:space="0" w:color="000000"/>
              <w:left w:val="nil"/>
              <w:bottom w:val="single" w:sz="8" w:space="0" w:color="000000"/>
              <w:right w:val="single" w:sz="8" w:space="0" w:color="000000"/>
            </w:tcBorders>
            <w:shd w:val="clear" w:color="auto" w:fill="44546A" w:themeFill="text2"/>
            <w:tcMar>
              <w:top w:w="0" w:type="dxa"/>
              <w:left w:w="108" w:type="dxa"/>
              <w:bottom w:w="0" w:type="dxa"/>
              <w:right w:w="108" w:type="dxa"/>
            </w:tcMar>
            <w:vAlign w:val="center"/>
            <w:hideMark/>
          </w:tcPr>
          <w:p w14:paraId="25D31E66" w14:textId="77777777" w:rsidR="00BB6CF3" w:rsidRPr="007D03C1" w:rsidRDefault="00BB6CF3" w:rsidP="00FF34CD">
            <w:pPr>
              <w:spacing w:after="0"/>
              <w:jc w:val="center"/>
              <w:rPr>
                <w:rFonts w:ascii="Arial" w:eastAsia="Calibri" w:hAnsi="Arial" w:cs="Arial"/>
                <w:b/>
                <w:bCs/>
                <w:color w:val="FFFFFF" w:themeColor="background1"/>
                <w:lang w:eastAsia="es-CR"/>
              </w:rPr>
            </w:pPr>
            <w:r w:rsidRPr="007D03C1">
              <w:rPr>
                <w:rFonts w:ascii="Arial" w:eastAsiaTheme="minorEastAsia" w:hAnsi="Arial" w:cs="Arial"/>
                <w:b/>
                <w:bCs/>
                <w:color w:val="FFFFFF" w:themeColor="background1"/>
                <w:lang w:eastAsia="es-CR"/>
              </w:rPr>
              <w:t>Valoración</w:t>
            </w:r>
          </w:p>
        </w:tc>
      </w:tr>
      <w:tr w:rsidR="00BB6CF3" w:rsidRPr="00A5000E" w14:paraId="6F0C816A" w14:textId="77777777" w:rsidTr="00FF34CD">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FEFA0D" w14:textId="054743F5" w:rsidR="00D61FA6" w:rsidRDefault="00D61FA6" w:rsidP="00825BB7">
            <w:pPr>
              <w:autoSpaceDE w:val="0"/>
              <w:autoSpaceDN w:val="0"/>
              <w:adjustRightInd w:val="0"/>
              <w:spacing w:after="0"/>
              <w:jc w:val="both"/>
              <w:rPr>
                <w:rFonts w:ascii="Arial" w:hAnsi="Arial" w:cs="Arial"/>
                <w:color w:val="000000"/>
              </w:rPr>
            </w:pPr>
            <w:r>
              <w:rPr>
                <w:rFonts w:ascii="Arial" w:hAnsi="Arial" w:cs="Arial"/>
                <w:color w:val="000000"/>
              </w:rPr>
              <w:t>Con respecto al primer resultado, el señor Melvin Quirós Romero, manifestó varios comentarios referidos a que en su momento no se estableció en la metodología una forma única para el cálculo de los pesos, debido a que todos los proyectos tienen características diferentes, asimismo que no considera necesario solicitar el detalle de la forma de cálculo de los pesos que fijan las Unidades Ejecutoras para determinar el avance de los proyectos.</w:t>
            </w:r>
          </w:p>
          <w:p w14:paraId="0FE3D2D4" w14:textId="743ACE08" w:rsidR="00BB6CF3" w:rsidRPr="00825BB7" w:rsidRDefault="00D61FA6" w:rsidP="00825BB7">
            <w:pPr>
              <w:autoSpaceDE w:val="0"/>
              <w:autoSpaceDN w:val="0"/>
              <w:adjustRightInd w:val="0"/>
              <w:spacing w:after="0"/>
              <w:jc w:val="both"/>
              <w:rPr>
                <w:rFonts w:ascii="Arial" w:hAnsi="Arial" w:cs="Arial"/>
                <w:color w:val="000000"/>
              </w:rPr>
            </w:pPr>
            <w:r>
              <w:rPr>
                <w:rFonts w:ascii="Arial" w:hAnsi="Arial" w:cs="Arial"/>
                <w:color w:val="000000"/>
              </w:rPr>
              <w:t xml:space="preserve"> </w:t>
            </w: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21BC976" w14:textId="3FF2B4E9" w:rsidR="00BB6CF3" w:rsidRPr="00A5000E" w:rsidRDefault="00D61FA6" w:rsidP="0016674E">
            <w:pPr>
              <w:autoSpaceDE w:val="0"/>
              <w:autoSpaceDN w:val="0"/>
              <w:adjustRightInd w:val="0"/>
              <w:spacing w:after="0"/>
              <w:contextualSpacing/>
              <w:jc w:val="both"/>
              <w:rPr>
                <w:rFonts w:ascii="Arial" w:hAnsi="Arial" w:cs="Arial"/>
                <w:bCs/>
                <w:color w:val="000000"/>
                <w:lang w:eastAsia="es-CR"/>
              </w:rPr>
            </w:pPr>
            <w:r>
              <w:rPr>
                <w:rFonts w:ascii="Arial" w:hAnsi="Arial" w:cs="Arial"/>
                <w:bCs/>
                <w:color w:val="000000"/>
                <w:lang w:eastAsia="es-CR"/>
              </w:rPr>
              <w:t>La Auditoría Interna después de considerar los comentarios, mantiene su criterio, debido a que es importante que se evidencie la metodología utilizada por las  Unidades Ejecutoras, que respalda la ejecución de los contratos de préstamo.</w:t>
            </w:r>
          </w:p>
        </w:tc>
      </w:tr>
      <w:tr w:rsidR="00D61FA6" w:rsidRPr="00A5000E" w14:paraId="323C043E" w14:textId="77777777" w:rsidTr="00FF34CD">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1AE5C6" w14:textId="3632D461" w:rsidR="00D61FA6" w:rsidRPr="00825BB7" w:rsidRDefault="005B368A" w:rsidP="00825BB7">
            <w:pPr>
              <w:autoSpaceDE w:val="0"/>
              <w:autoSpaceDN w:val="0"/>
              <w:adjustRightInd w:val="0"/>
              <w:spacing w:after="0"/>
              <w:jc w:val="both"/>
              <w:rPr>
                <w:rFonts w:ascii="Arial" w:hAnsi="Arial" w:cs="Arial"/>
                <w:color w:val="000000"/>
              </w:rPr>
            </w:pPr>
            <w:r>
              <w:rPr>
                <w:rFonts w:ascii="Arial" w:hAnsi="Arial" w:cs="Arial"/>
                <w:color w:val="000000"/>
              </w:rPr>
              <w:t>Con respecto al segundo resultado, don Melvin Quirós indicó que no considera necesaria la “conciliación” que se realiza con el sistema SIGADE de los desembolsos correspondientes a créditos de Programas / Proyectos de Inversión.</w:t>
            </w: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DEDAE14" w14:textId="0E172700" w:rsidR="00D61FA6" w:rsidRPr="00A5000E" w:rsidRDefault="005B368A" w:rsidP="0016674E">
            <w:pPr>
              <w:autoSpaceDE w:val="0"/>
              <w:autoSpaceDN w:val="0"/>
              <w:adjustRightInd w:val="0"/>
              <w:spacing w:after="0"/>
              <w:contextualSpacing/>
              <w:jc w:val="both"/>
              <w:rPr>
                <w:rFonts w:ascii="Arial" w:hAnsi="Arial" w:cs="Arial"/>
                <w:bCs/>
                <w:color w:val="000000"/>
                <w:lang w:eastAsia="es-CR"/>
              </w:rPr>
            </w:pPr>
            <w:r>
              <w:rPr>
                <w:rFonts w:ascii="Arial" w:hAnsi="Arial" w:cs="Arial"/>
                <w:bCs/>
                <w:color w:val="000000"/>
                <w:lang w:eastAsia="es-CR"/>
              </w:rPr>
              <w:t>Se realizó un ajuste a la recomendación 4.2 del informe, para que  sea en el sentido de valorar la pertinencia de los controles que se realizan y que no están documentados, y hacer los cambios que correspondan según el resultado de esa valoración.</w:t>
            </w:r>
          </w:p>
        </w:tc>
      </w:tr>
      <w:tr w:rsidR="00D61FA6" w:rsidRPr="00A5000E" w14:paraId="34C034E9" w14:textId="77777777" w:rsidTr="00FF34CD">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DF82DB" w14:textId="1D8E79B0" w:rsidR="00D61FA6" w:rsidRPr="00825BB7" w:rsidRDefault="005B368A" w:rsidP="00825BB7">
            <w:pPr>
              <w:autoSpaceDE w:val="0"/>
              <w:autoSpaceDN w:val="0"/>
              <w:adjustRightInd w:val="0"/>
              <w:spacing w:after="0"/>
              <w:jc w:val="both"/>
              <w:rPr>
                <w:rFonts w:ascii="Arial" w:hAnsi="Arial" w:cs="Arial"/>
                <w:color w:val="000000"/>
              </w:rPr>
            </w:pPr>
            <w:r>
              <w:rPr>
                <w:rFonts w:ascii="Arial" w:hAnsi="Arial" w:cs="Arial"/>
                <w:color w:val="000000"/>
              </w:rPr>
              <w:t xml:space="preserve">Sobre el tercer resultado, </w:t>
            </w:r>
            <w:r w:rsidR="009E1061">
              <w:rPr>
                <w:rFonts w:ascii="Arial" w:hAnsi="Arial" w:cs="Arial"/>
                <w:color w:val="000000"/>
              </w:rPr>
              <w:t>el señor Melvin Quirós manifestó que sí se podría tener un método estructurado para el seguimiento, pero que no serviría de nada en el tanto la Dirección de Crédito Público no cuenta con el peso legal para exigir el cumplimiento de las recomendaciones que se emiten. Sugirió que esto podría incluir en el Manual de Operaciones.</w:t>
            </w: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8ABE014" w14:textId="7F425AC5" w:rsidR="00D61FA6" w:rsidRPr="00A5000E" w:rsidRDefault="009E1061" w:rsidP="0016674E">
            <w:pPr>
              <w:autoSpaceDE w:val="0"/>
              <w:autoSpaceDN w:val="0"/>
              <w:adjustRightInd w:val="0"/>
              <w:spacing w:after="0"/>
              <w:contextualSpacing/>
              <w:jc w:val="both"/>
              <w:rPr>
                <w:rFonts w:ascii="Arial" w:hAnsi="Arial" w:cs="Arial"/>
                <w:bCs/>
                <w:color w:val="000000"/>
                <w:lang w:eastAsia="es-CR"/>
              </w:rPr>
            </w:pPr>
            <w:r>
              <w:rPr>
                <w:rFonts w:ascii="Arial" w:hAnsi="Arial" w:cs="Arial"/>
                <w:bCs/>
                <w:color w:val="000000"/>
                <w:lang w:eastAsia="es-CR"/>
              </w:rPr>
              <w:t>La Auditoría Interna valoró lo comentado y realizó un cambio en la recomendación, para incluir la sugerencia de incluir la indicación de que se cumplan las recomendaciones emitidas por la Dirección de Crédito Público en el Manual de Operaciones.  Asimismo, se incluyó otra recomendación acerca de la colaboración que se puede recibir de las Auditorías Internas de las diferentes instituciones que tengan relación con las respectivas Unidades Ejecutoras.</w:t>
            </w:r>
          </w:p>
        </w:tc>
      </w:tr>
    </w:tbl>
    <w:p w14:paraId="4DCDBFA2" w14:textId="2055BA69" w:rsidR="00BB6CF3" w:rsidRDefault="00BB6CF3" w:rsidP="001B1FA3">
      <w:pPr>
        <w:spacing w:after="0"/>
        <w:contextualSpacing/>
        <w:rPr>
          <w:rFonts w:ascii="Arial" w:hAnsi="Arial" w:cs="Arial"/>
          <w:sz w:val="18"/>
          <w:szCs w:val="18"/>
        </w:rPr>
      </w:pPr>
      <w:r w:rsidRPr="00FF17E8">
        <w:rPr>
          <w:rFonts w:ascii="Arial" w:hAnsi="Arial" w:cs="Arial"/>
          <w:sz w:val="18"/>
          <w:szCs w:val="18"/>
        </w:rPr>
        <w:t xml:space="preserve">Fuente: </w:t>
      </w:r>
      <w:r w:rsidR="00FA3C61">
        <w:rPr>
          <w:rFonts w:ascii="Arial" w:hAnsi="Arial" w:cs="Arial"/>
          <w:sz w:val="18"/>
          <w:szCs w:val="18"/>
        </w:rPr>
        <w:t>R</w:t>
      </w:r>
      <w:r w:rsidR="00BD70D3">
        <w:rPr>
          <w:rFonts w:ascii="Arial" w:hAnsi="Arial" w:cs="Arial"/>
          <w:sz w:val="18"/>
          <w:szCs w:val="18"/>
        </w:rPr>
        <w:t>e</w:t>
      </w:r>
      <w:r w:rsidR="00FA3C61">
        <w:rPr>
          <w:rFonts w:ascii="Arial" w:hAnsi="Arial" w:cs="Arial"/>
          <w:sz w:val="18"/>
          <w:szCs w:val="18"/>
        </w:rPr>
        <w:t>unión</w:t>
      </w:r>
      <w:r w:rsidRPr="00FF17E8">
        <w:rPr>
          <w:rFonts w:ascii="Arial" w:hAnsi="Arial" w:cs="Arial"/>
          <w:sz w:val="18"/>
          <w:szCs w:val="18"/>
        </w:rPr>
        <w:t xml:space="preserve"> de comunicación de resultados del estudio </w:t>
      </w:r>
      <w:r>
        <w:rPr>
          <w:rFonts w:ascii="Arial" w:hAnsi="Arial" w:cs="Arial"/>
          <w:sz w:val="18"/>
          <w:szCs w:val="18"/>
        </w:rPr>
        <w:t>0</w:t>
      </w:r>
      <w:r w:rsidR="00820467">
        <w:rPr>
          <w:rFonts w:ascii="Arial" w:hAnsi="Arial" w:cs="Arial"/>
          <w:sz w:val="18"/>
          <w:szCs w:val="18"/>
        </w:rPr>
        <w:t>29</w:t>
      </w:r>
      <w:r>
        <w:rPr>
          <w:rFonts w:ascii="Arial" w:hAnsi="Arial" w:cs="Arial"/>
          <w:sz w:val="18"/>
          <w:szCs w:val="18"/>
        </w:rPr>
        <w:t>-2022</w:t>
      </w:r>
      <w:r w:rsidR="0016674E">
        <w:rPr>
          <w:rFonts w:ascii="Arial" w:hAnsi="Arial" w:cs="Arial"/>
          <w:sz w:val="18"/>
          <w:szCs w:val="18"/>
        </w:rPr>
        <w:t>.</w:t>
      </w:r>
    </w:p>
    <w:p w14:paraId="693D9B11" w14:textId="77777777" w:rsidR="00C740BD" w:rsidRDefault="00C740BD" w:rsidP="001B1FA3">
      <w:pPr>
        <w:spacing w:after="0"/>
        <w:contextualSpacing/>
        <w:rPr>
          <w:rFonts w:ascii="Arial" w:hAnsi="Arial" w:cs="Arial"/>
          <w:sz w:val="18"/>
          <w:szCs w:val="18"/>
        </w:rPr>
      </w:pPr>
    </w:p>
    <w:p w14:paraId="7B72C69F" w14:textId="77777777" w:rsidR="00C740BD" w:rsidRDefault="00C740BD" w:rsidP="00970E7B">
      <w:pPr>
        <w:rPr>
          <w:rFonts w:ascii="Arial" w:hAnsi="Arial" w:cs="Arial"/>
          <w:sz w:val="18"/>
          <w:szCs w:val="18"/>
        </w:rPr>
      </w:pPr>
    </w:p>
    <w:sectPr w:rsidR="00C740BD" w:rsidSect="00BD60D9">
      <w:headerReference w:type="even" r:id="rId12"/>
      <w:headerReference w:type="default" r:id="rId13"/>
      <w:footerReference w:type="default" r:id="rId14"/>
      <w:headerReference w:type="first" r:id="rId15"/>
      <w:pgSz w:w="12240" w:h="15840" w:code="1"/>
      <w:pgMar w:top="1926"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7E788" w14:textId="77777777" w:rsidR="00EA500C" w:rsidRDefault="00EA500C" w:rsidP="00B17BEF">
      <w:pPr>
        <w:spacing w:after="0" w:line="240" w:lineRule="auto"/>
      </w:pPr>
      <w:r>
        <w:separator/>
      </w:r>
    </w:p>
  </w:endnote>
  <w:endnote w:type="continuationSeparator" w:id="0">
    <w:p w14:paraId="726884B7" w14:textId="77777777" w:rsidR="00EA500C" w:rsidRDefault="00EA500C" w:rsidP="00B1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3D3F0" w14:textId="77777777" w:rsidR="00FF34CD" w:rsidRPr="00A222DC" w:rsidRDefault="00FF34CD" w:rsidP="00C13278">
    <w:pPr>
      <w:spacing w:after="0"/>
      <w:contextualSpacing/>
      <w:jc w:val="center"/>
      <w:rPr>
        <w:rFonts w:ascii="Arial" w:hAnsi="Arial" w:cs="Arial"/>
        <w:sz w:val="16"/>
        <w:szCs w:val="16"/>
      </w:rPr>
    </w:pPr>
    <w:r w:rsidRPr="00A222DC">
      <w:rPr>
        <w:rFonts w:ascii="Arial" w:hAnsi="Arial" w:cs="Arial"/>
        <w:sz w:val="16"/>
        <w:szCs w:val="16"/>
      </w:rPr>
      <w:t xml:space="preserve">Av. 2da, Calles 1 y 3, diagonal al Teatro Nacional, San José, Costa Rica. </w:t>
    </w:r>
  </w:p>
  <w:sdt>
    <w:sdtPr>
      <w:rPr>
        <w:rStyle w:val="Nmerodepgina"/>
        <w:rFonts w:ascii="Arial" w:hAnsi="Arial" w:cs="Arial"/>
      </w:rPr>
      <w:id w:val="877196930"/>
      <w:docPartObj>
        <w:docPartGallery w:val="Page Numbers (Bottom of Page)"/>
        <w:docPartUnique/>
      </w:docPartObj>
    </w:sdtPr>
    <w:sdtEndPr>
      <w:rPr>
        <w:rStyle w:val="Nmerodepgina"/>
        <w:color w:val="404040" w:themeColor="text1" w:themeTint="BF"/>
        <w:sz w:val="18"/>
        <w:szCs w:val="18"/>
      </w:rPr>
    </w:sdtEndPr>
    <w:sdtContent>
      <w:p w14:paraId="1D968840" w14:textId="77777777" w:rsidR="00FF34CD" w:rsidRPr="00A222DC" w:rsidRDefault="00FF34CD" w:rsidP="00C13278">
        <w:pPr>
          <w:pStyle w:val="Piedepgina"/>
          <w:framePr w:wrap="none" w:vAnchor="text" w:hAnchor="margin" w:xAlign="right" w:y="1"/>
          <w:contextualSpacing/>
          <w:rPr>
            <w:rStyle w:val="Nmerodepgina"/>
            <w:rFonts w:ascii="Arial" w:hAnsi="Arial" w:cs="Arial"/>
            <w:sz w:val="18"/>
            <w:szCs w:val="18"/>
          </w:rPr>
        </w:pPr>
        <w:r w:rsidRPr="00A222DC">
          <w:rPr>
            <w:rStyle w:val="Nmerodepgina"/>
            <w:rFonts w:ascii="Arial" w:hAnsi="Arial" w:cs="Arial"/>
            <w:sz w:val="18"/>
            <w:szCs w:val="18"/>
          </w:rPr>
          <w:fldChar w:fldCharType="begin"/>
        </w:r>
        <w:r w:rsidRPr="00A222DC">
          <w:rPr>
            <w:rStyle w:val="Nmerodepgina"/>
            <w:rFonts w:ascii="Arial" w:hAnsi="Arial" w:cs="Arial"/>
            <w:sz w:val="18"/>
            <w:szCs w:val="18"/>
          </w:rPr>
          <w:instrText xml:space="preserve"> PAGE </w:instrText>
        </w:r>
        <w:r w:rsidRPr="00A222DC">
          <w:rPr>
            <w:rStyle w:val="Nmerodepgina"/>
            <w:rFonts w:ascii="Arial" w:hAnsi="Arial" w:cs="Arial"/>
            <w:sz w:val="18"/>
            <w:szCs w:val="18"/>
          </w:rPr>
          <w:fldChar w:fldCharType="separate"/>
        </w:r>
        <w:r>
          <w:rPr>
            <w:rStyle w:val="Nmerodepgina"/>
            <w:rFonts w:ascii="Arial" w:hAnsi="Arial" w:cs="Arial"/>
            <w:sz w:val="18"/>
            <w:szCs w:val="18"/>
          </w:rPr>
          <w:t>2</w:t>
        </w:r>
        <w:r w:rsidRPr="00A222DC">
          <w:rPr>
            <w:rStyle w:val="Nmerodepgina"/>
            <w:rFonts w:ascii="Arial" w:hAnsi="Arial" w:cs="Arial"/>
            <w:sz w:val="18"/>
            <w:szCs w:val="18"/>
          </w:rPr>
          <w:fldChar w:fldCharType="end"/>
        </w:r>
      </w:p>
    </w:sdtContent>
  </w:sdt>
  <w:p w14:paraId="32F5CA2E" w14:textId="77777777" w:rsidR="00FF34CD" w:rsidRPr="00A222DC" w:rsidRDefault="00FF34CD" w:rsidP="00C13278">
    <w:pPr>
      <w:spacing w:after="0"/>
      <w:contextualSpacing/>
      <w:jc w:val="center"/>
      <w:rPr>
        <w:rFonts w:ascii="Arial" w:hAnsi="Arial" w:cs="Arial"/>
        <w:sz w:val="16"/>
        <w:szCs w:val="16"/>
      </w:rPr>
    </w:pPr>
    <w:r w:rsidRPr="00A222DC">
      <w:rPr>
        <w:rFonts w:ascii="Arial" w:hAnsi="Arial" w:cs="Arial"/>
        <w:sz w:val="16"/>
        <w:szCs w:val="16"/>
      </w:rPr>
      <w:t xml:space="preserve"> Tel: (506)</w:t>
    </w:r>
    <w:r>
      <w:rPr>
        <w:rFonts w:ascii="Arial" w:hAnsi="Arial" w:cs="Arial"/>
        <w:sz w:val="16"/>
        <w:szCs w:val="16"/>
      </w:rPr>
      <w:t xml:space="preserve"> </w:t>
    </w:r>
    <w:r w:rsidRPr="00A222DC">
      <w:rPr>
        <w:rFonts w:ascii="Arial" w:hAnsi="Arial" w:cs="Arial"/>
        <w:sz w:val="16"/>
        <w:szCs w:val="16"/>
      </w:rPr>
      <w:t xml:space="preserve">2539-6684 -  </w:t>
    </w:r>
    <w:hyperlink r:id="rId1" w:history="1">
      <w:r w:rsidRPr="00A222DC">
        <w:rPr>
          <w:rStyle w:val="Hipervnculo"/>
          <w:rFonts w:ascii="Arial" w:hAnsi="Arial" w:cs="Arial"/>
          <w:sz w:val="16"/>
          <w:szCs w:val="16"/>
        </w:rPr>
        <w:t>www.hacienda.go.cr</w:t>
      </w:r>
    </w:hyperlink>
    <w:r w:rsidRPr="00A222DC">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40ADD" w14:textId="77777777" w:rsidR="00EA500C" w:rsidRDefault="00EA500C" w:rsidP="00B17BEF">
      <w:pPr>
        <w:spacing w:after="0" w:line="240" w:lineRule="auto"/>
      </w:pPr>
      <w:r>
        <w:separator/>
      </w:r>
    </w:p>
  </w:footnote>
  <w:footnote w:type="continuationSeparator" w:id="0">
    <w:p w14:paraId="58F3B390" w14:textId="77777777" w:rsidR="00EA500C" w:rsidRDefault="00EA500C" w:rsidP="00B17BEF">
      <w:pPr>
        <w:spacing w:after="0" w:line="240" w:lineRule="auto"/>
      </w:pPr>
      <w:r>
        <w:continuationSeparator/>
      </w:r>
    </w:p>
  </w:footnote>
  <w:footnote w:id="1">
    <w:p w14:paraId="3B9C121F" w14:textId="77777777" w:rsidR="00FF34CD" w:rsidRDefault="00FF34CD">
      <w:pPr>
        <w:pStyle w:val="Textonotapie"/>
      </w:pPr>
      <w:r>
        <w:rPr>
          <w:rStyle w:val="Refdenotaalpie"/>
        </w:rPr>
        <w:footnoteRef/>
      </w:r>
      <w:r>
        <w:t xml:space="preserve"> </w:t>
      </w:r>
      <w:r w:rsidRPr="00FF34CD">
        <w:rPr>
          <w:rFonts w:ascii="Arial" w:hAnsi="Arial" w:cs="Arial"/>
          <w:sz w:val="16"/>
          <w:szCs w:val="16"/>
        </w:rPr>
        <w:t>Según P</w:t>
      </w:r>
      <w:r w:rsidRPr="00165B88">
        <w:rPr>
          <w:rFonts w:ascii="Arial" w:hAnsi="Arial" w:cs="Arial"/>
          <w:sz w:val="16"/>
          <w:szCs w:val="16"/>
        </w:rPr>
        <w:t>rogramación de desembolsos de los créditos externos de inversión en ejecución al 30</w:t>
      </w:r>
      <w:r w:rsidR="00970E7B">
        <w:rPr>
          <w:rFonts w:ascii="Arial" w:hAnsi="Arial" w:cs="Arial"/>
          <w:sz w:val="16"/>
          <w:szCs w:val="16"/>
        </w:rPr>
        <w:t xml:space="preserve"> de junio de </w:t>
      </w:r>
      <w:r w:rsidRPr="00165B88">
        <w:rPr>
          <w:rFonts w:ascii="Arial" w:hAnsi="Arial" w:cs="Arial"/>
          <w:sz w:val="16"/>
          <w:szCs w:val="16"/>
        </w:rPr>
        <w:t>2022</w:t>
      </w:r>
      <w:r>
        <w:rPr>
          <w:rFonts w:ascii="Arial" w:hAnsi="Arial" w:cs="Arial"/>
          <w:sz w:val="16"/>
          <w:szCs w:val="16"/>
        </w:rPr>
        <w:t>.</w:t>
      </w:r>
    </w:p>
  </w:footnote>
  <w:footnote w:id="2">
    <w:p w14:paraId="6D700A4C" w14:textId="77777777" w:rsidR="00FF34CD" w:rsidRPr="00F74D63" w:rsidRDefault="00FF34CD" w:rsidP="004B00AB">
      <w:pPr>
        <w:autoSpaceDE w:val="0"/>
        <w:autoSpaceDN w:val="0"/>
        <w:adjustRightInd w:val="0"/>
        <w:spacing w:after="0" w:line="240" w:lineRule="auto"/>
        <w:jc w:val="both"/>
        <w:rPr>
          <w:rFonts w:ascii="Arial" w:hAnsi="Arial" w:cs="Arial"/>
          <w:sz w:val="18"/>
          <w:szCs w:val="18"/>
        </w:rPr>
      </w:pPr>
      <w:r w:rsidRPr="004B00AB">
        <w:rPr>
          <w:rStyle w:val="Refdenotaalpie"/>
          <w:rFonts w:ascii="Arial" w:hAnsi="Arial" w:cs="Arial"/>
        </w:rPr>
        <w:footnoteRef/>
      </w:r>
      <w:r w:rsidRPr="004B00AB">
        <w:rPr>
          <w:rFonts w:ascii="Arial" w:hAnsi="Arial" w:cs="Arial"/>
        </w:rPr>
        <w:t xml:space="preserve"> </w:t>
      </w:r>
      <w:r w:rsidRPr="00F74D63">
        <w:rPr>
          <w:rFonts w:ascii="Arial" w:eastAsiaTheme="minorEastAsia" w:hAnsi="Arial" w:cs="Arial"/>
          <w:sz w:val="18"/>
          <w:szCs w:val="18"/>
          <w:lang w:val="es-ES" w:eastAsia="es-ES"/>
        </w:rPr>
        <w:t>Publicado en el Alcance N°202 a La Gaceta N°181 del 23 de setiembre de 2022.</w:t>
      </w:r>
    </w:p>
    <w:p w14:paraId="7E47FA0B" w14:textId="77777777" w:rsidR="00FF34CD" w:rsidRPr="00F74D63" w:rsidRDefault="00FF34CD">
      <w:pPr>
        <w:pStyle w:val="Textonotapie"/>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0F7F" w14:textId="372FC1E0" w:rsidR="00FF34CD" w:rsidRDefault="007A6C3A">
    <w:pPr>
      <w:pStyle w:val="Encabezado"/>
    </w:pPr>
    <w:r>
      <w:rPr>
        <w:noProof/>
      </w:rPr>
      <w:pict w14:anchorId="58371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49.75pt;height:73.3pt;rotation:315;z-index:-251657728;mso-position-horizontal:center;mso-position-horizontal-relative:margin;mso-position-vertical:center;mso-position-vertical-relative:margin" o:allowincell="f" fillcolor="silver" stroked="f">
          <v:fill opacity=".5"/>
          <v:textpath style="font-family:&quot;Arial&quot;;font-size:1pt" string="Versión 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0FF8" w14:textId="3E2D836B" w:rsidR="00FF34CD" w:rsidRDefault="00FF34CD" w:rsidP="00BD60D9">
    <w:pPr>
      <w:pStyle w:val="Encabezado"/>
      <w:jc w:val="center"/>
    </w:pPr>
    <w:r>
      <w:rPr>
        <w:noProof/>
      </w:rPr>
      <w:drawing>
        <wp:anchor distT="0" distB="0" distL="114300" distR="114300" simplePos="0" relativeHeight="251657728" behindDoc="0" locked="0" layoutInCell="1" allowOverlap="1" wp14:anchorId="54BB610B" wp14:editId="3386D0EB">
          <wp:simplePos x="0" y="0"/>
          <wp:positionH relativeFrom="column">
            <wp:posOffset>4911437</wp:posOffset>
          </wp:positionH>
          <wp:positionV relativeFrom="paragraph">
            <wp:posOffset>-635</wp:posOffset>
          </wp:positionV>
          <wp:extent cx="1282700" cy="6538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Gobierno 2022-2026(azul).png"/>
                  <pic:cNvPicPr/>
                </pic:nvPicPr>
                <pic:blipFill>
                  <a:blip r:embed="rId1"/>
                  <a:stretch>
                    <a:fillRect/>
                  </a:stretch>
                </pic:blipFill>
                <pic:spPr>
                  <a:xfrm>
                    <a:off x="0" y="0"/>
                    <a:ext cx="1282700" cy="653831"/>
                  </a:xfrm>
                  <a:prstGeom prst="rect">
                    <a:avLst/>
                  </a:prstGeom>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56704" behindDoc="1" locked="0" layoutInCell="1" allowOverlap="1" wp14:anchorId="56098CC1" wp14:editId="4769A998">
          <wp:simplePos x="0" y="0"/>
          <wp:positionH relativeFrom="column">
            <wp:posOffset>-457200</wp:posOffset>
          </wp:positionH>
          <wp:positionV relativeFrom="paragraph">
            <wp:posOffset>132080</wp:posOffset>
          </wp:positionV>
          <wp:extent cx="1046480" cy="467360"/>
          <wp:effectExtent l="0" t="0" r="0" b="2540"/>
          <wp:wrapNone/>
          <wp:docPr id="13" name="Imagen 13" descr="Macintosh HD:Users:Ministerio_de_Hacienda:Desktop:André:Libro de marca nuevo:Logos para hojas membretadas:png logos (costa rica):logo auditoría interna(costa 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_de_Hacienda:Desktop:André:Libro de marca nuevo:Logos para hojas membretadas:png logos (costa rica):logo auditoría interna(costa r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480"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F6BFD" w14:textId="77777777" w:rsidR="00FF34CD" w:rsidRDefault="00FF34CD" w:rsidP="00BD60D9">
    <w:pPr>
      <w:pStyle w:val="Encabezado"/>
      <w:jc w:val="center"/>
    </w:pPr>
  </w:p>
  <w:p w14:paraId="02AED362" w14:textId="5EBA3D29" w:rsidR="00FF34CD" w:rsidRPr="003C7BE7" w:rsidRDefault="00FF34CD" w:rsidP="00BD60D9">
    <w:pPr>
      <w:pStyle w:val="Encabezado"/>
      <w:jc w:val="center"/>
      <w:rPr>
        <w:rFonts w:ascii="Arial" w:hAnsi="Arial" w:cs="Arial"/>
        <w:color w:val="404040" w:themeColor="text1" w:themeTint="BF"/>
        <w:sz w:val="18"/>
        <w:szCs w:val="18"/>
      </w:rPr>
    </w:pPr>
    <w:r>
      <w:rPr>
        <w:rFonts w:ascii="Arial" w:hAnsi="Arial" w:cs="Arial"/>
        <w:color w:val="404040" w:themeColor="text1" w:themeTint="BF"/>
        <w:sz w:val="18"/>
        <w:szCs w:val="18"/>
      </w:rPr>
      <w:t>MH-</w:t>
    </w:r>
    <w:r w:rsidRPr="003C7BE7">
      <w:rPr>
        <w:rFonts w:ascii="Arial" w:hAnsi="Arial" w:cs="Arial"/>
        <w:color w:val="404040" w:themeColor="text1" w:themeTint="BF"/>
        <w:sz w:val="18"/>
        <w:szCs w:val="18"/>
      </w:rPr>
      <w:t>AI-INF-</w:t>
    </w:r>
    <w:r>
      <w:rPr>
        <w:rFonts w:ascii="Arial" w:hAnsi="Arial" w:cs="Arial"/>
        <w:color w:val="404040" w:themeColor="text1" w:themeTint="BF"/>
        <w:sz w:val="18"/>
        <w:szCs w:val="18"/>
      </w:rPr>
      <w:t>CI</w:t>
    </w:r>
    <w:r w:rsidRPr="003C7BE7">
      <w:rPr>
        <w:rFonts w:ascii="Arial" w:hAnsi="Arial" w:cs="Arial"/>
        <w:color w:val="404040" w:themeColor="text1" w:themeTint="BF"/>
        <w:sz w:val="18"/>
        <w:szCs w:val="18"/>
      </w:rPr>
      <w:t>-</w:t>
    </w:r>
    <w:r w:rsidRPr="003A1EB6">
      <w:rPr>
        <w:rFonts w:ascii="Arial" w:hAnsi="Arial" w:cs="Arial"/>
        <w:color w:val="404040" w:themeColor="text1" w:themeTint="BF"/>
        <w:sz w:val="18"/>
        <w:szCs w:val="18"/>
      </w:rPr>
      <w:t>00</w:t>
    </w:r>
    <w:r w:rsidR="00A734DF" w:rsidRPr="003A1EB6">
      <w:rPr>
        <w:rFonts w:ascii="Arial" w:hAnsi="Arial" w:cs="Arial"/>
        <w:color w:val="404040" w:themeColor="text1" w:themeTint="BF"/>
        <w:sz w:val="18"/>
        <w:szCs w:val="18"/>
      </w:rPr>
      <w:t>1</w:t>
    </w:r>
    <w:r w:rsidRPr="003A1EB6">
      <w:rPr>
        <w:rFonts w:ascii="Arial" w:hAnsi="Arial" w:cs="Arial"/>
        <w:color w:val="404040" w:themeColor="text1" w:themeTint="BF"/>
        <w:sz w:val="18"/>
        <w:szCs w:val="18"/>
      </w:rPr>
      <w:t>-</w:t>
    </w:r>
    <w:r w:rsidRPr="005B36E0">
      <w:rPr>
        <w:rFonts w:ascii="Arial" w:hAnsi="Arial" w:cs="Arial"/>
        <w:color w:val="404040" w:themeColor="text1" w:themeTint="BF"/>
        <w:sz w:val="18"/>
        <w:szCs w:val="18"/>
      </w:rPr>
      <w:t>202</w:t>
    </w:r>
    <w:r>
      <w:rPr>
        <w:rFonts w:ascii="Arial" w:hAnsi="Arial" w:cs="Arial"/>
        <w:color w:val="404040" w:themeColor="text1" w:themeTint="BF"/>
        <w:sz w:val="18"/>
        <w:szCs w:val="18"/>
      </w:rPr>
      <w:t>3</w:t>
    </w:r>
  </w:p>
  <w:p w14:paraId="07EFFD7E" w14:textId="77777777" w:rsidR="00FF34CD" w:rsidRPr="00BD60D9" w:rsidRDefault="00FF34CD" w:rsidP="00BD60D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E3585" w14:textId="19002FA0" w:rsidR="00322B13" w:rsidRDefault="00322B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8B2D386"/>
    <w:name w:val="WWNum1"/>
    <w:lvl w:ilvl="0">
      <w:start w:val="1"/>
      <w:numFmt w:val="decimal"/>
      <w:lvlText w:val="%1."/>
      <w:lvlJc w:val="left"/>
      <w:pPr>
        <w:tabs>
          <w:tab w:val="num" w:pos="284"/>
        </w:tabs>
        <w:ind w:left="716"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34B7A90"/>
    <w:multiLevelType w:val="multilevel"/>
    <w:tmpl w:val="F7DE91C2"/>
    <w:lvl w:ilvl="0">
      <w:start w:val="4"/>
      <w:numFmt w:val="decimal"/>
      <w:lvlText w:val="%1."/>
      <w:lvlJc w:val="left"/>
      <w:pPr>
        <w:ind w:left="57" w:firstLine="303"/>
      </w:pPr>
      <w:rPr>
        <w:rFonts w:hint="default"/>
      </w:rPr>
    </w:lvl>
    <w:lvl w:ilvl="1">
      <w:start w:val="1"/>
      <w:numFmt w:val="decimal"/>
      <w:isLgl/>
      <w:lvlText w:val="%1.%2"/>
      <w:lvlJc w:val="left"/>
      <w:pPr>
        <w:ind w:left="0" w:firstLine="360"/>
      </w:pPr>
      <w:rPr>
        <w:rFonts w:hint="default"/>
        <w:b/>
        <w:color w:val="44546A"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605960"/>
    <w:multiLevelType w:val="singleLevel"/>
    <w:tmpl w:val="FF4EF7A0"/>
    <w:lvl w:ilvl="0">
      <w:start w:val="1"/>
      <w:numFmt w:val="decimal"/>
      <w:lvlText w:val="5.%1"/>
      <w:lvlJc w:val="left"/>
      <w:pPr>
        <w:ind w:left="360" w:hanging="360"/>
      </w:pPr>
      <w:rPr>
        <w:rFonts w:hint="default"/>
        <w:b w:val="0"/>
      </w:rPr>
    </w:lvl>
  </w:abstractNum>
  <w:abstractNum w:abstractNumId="3" w15:restartNumberingAfterBreak="0">
    <w:nsid w:val="06407726"/>
    <w:multiLevelType w:val="hybridMultilevel"/>
    <w:tmpl w:val="62385D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E8822DA"/>
    <w:multiLevelType w:val="hybridMultilevel"/>
    <w:tmpl w:val="732013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2D013C"/>
    <w:multiLevelType w:val="hybridMultilevel"/>
    <w:tmpl w:val="1D2A3A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3B352B"/>
    <w:multiLevelType w:val="multilevel"/>
    <w:tmpl w:val="5D841EB2"/>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ascii="Arial" w:eastAsia="Times New Roman" w:hAnsi="Arial" w:cs="Times New Roman" w:hint="default"/>
        <w:b/>
        <w:color w:val="44546A" w:themeColor="text2"/>
        <w:sz w:val="24"/>
      </w:rPr>
    </w:lvl>
    <w:lvl w:ilvl="2">
      <w:start w:val="1"/>
      <w:numFmt w:val="decimal"/>
      <w:isLgl/>
      <w:lvlText w:val="%1.%2.%3"/>
      <w:lvlJc w:val="left"/>
      <w:pPr>
        <w:ind w:left="720" w:hanging="720"/>
      </w:pPr>
      <w:rPr>
        <w:rFonts w:ascii="Arial" w:eastAsia="Times New Roman" w:hAnsi="Arial" w:cs="Times New Roman" w:hint="default"/>
        <w:b/>
        <w:color w:val="1F497D"/>
        <w:sz w:val="24"/>
      </w:rPr>
    </w:lvl>
    <w:lvl w:ilvl="3">
      <w:start w:val="1"/>
      <w:numFmt w:val="decimal"/>
      <w:isLgl/>
      <w:lvlText w:val="%1.%2.%3.%4"/>
      <w:lvlJc w:val="left"/>
      <w:pPr>
        <w:ind w:left="1080" w:hanging="1080"/>
      </w:pPr>
      <w:rPr>
        <w:rFonts w:ascii="Arial" w:eastAsia="Times New Roman" w:hAnsi="Arial" w:cs="Times New Roman" w:hint="default"/>
        <w:b/>
        <w:color w:val="1F497D"/>
        <w:sz w:val="24"/>
      </w:rPr>
    </w:lvl>
    <w:lvl w:ilvl="4">
      <w:start w:val="1"/>
      <w:numFmt w:val="decimal"/>
      <w:isLgl/>
      <w:lvlText w:val="%1.%2.%3.%4.%5"/>
      <w:lvlJc w:val="left"/>
      <w:pPr>
        <w:ind w:left="1080" w:hanging="1080"/>
      </w:pPr>
      <w:rPr>
        <w:rFonts w:ascii="Arial" w:eastAsia="Times New Roman" w:hAnsi="Arial" w:cs="Times New Roman" w:hint="default"/>
        <w:b/>
        <w:color w:val="1F497D"/>
        <w:sz w:val="24"/>
      </w:rPr>
    </w:lvl>
    <w:lvl w:ilvl="5">
      <w:start w:val="1"/>
      <w:numFmt w:val="decimal"/>
      <w:isLgl/>
      <w:lvlText w:val="%1.%2.%3.%4.%5.%6"/>
      <w:lvlJc w:val="left"/>
      <w:pPr>
        <w:ind w:left="1440" w:hanging="1440"/>
      </w:pPr>
      <w:rPr>
        <w:rFonts w:ascii="Arial" w:eastAsia="Times New Roman" w:hAnsi="Arial" w:cs="Times New Roman" w:hint="default"/>
        <w:b/>
        <w:color w:val="1F497D"/>
        <w:sz w:val="24"/>
      </w:rPr>
    </w:lvl>
    <w:lvl w:ilvl="6">
      <w:start w:val="1"/>
      <w:numFmt w:val="decimal"/>
      <w:isLgl/>
      <w:lvlText w:val="%1.%2.%3.%4.%5.%6.%7"/>
      <w:lvlJc w:val="left"/>
      <w:pPr>
        <w:ind w:left="1440" w:hanging="1440"/>
      </w:pPr>
      <w:rPr>
        <w:rFonts w:ascii="Arial" w:eastAsia="Times New Roman" w:hAnsi="Arial" w:cs="Times New Roman" w:hint="default"/>
        <w:b/>
        <w:color w:val="1F497D"/>
        <w:sz w:val="24"/>
      </w:rPr>
    </w:lvl>
    <w:lvl w:ilvl="7">
      <w:start w:val="1"/>
      <w:numFmt w:val="decimal"/>
      <w:isLgl/>
      <w:lvlText w:val="%1.%2.%3.%4.%5.%6.%7.%8"/>
      <w:lvlJc w:val="left"/>
      <w:pPr>
        <w:ind w:left="1800" w:hanging="1800"/>
      </w:pPr>
      <w:rPr>
        <w:rFonts w:ascii="Arial" w:eastAsia="Times New Roman" w:hAnsi="Arial" w:cs="Times New Roman" w:hint="default"/>
        <w:b/>
        <w:color w:val="1F497D"/>
        <w:sz w:val="24"/>
      </w:rPr>
    </w:lvl>
    <w:lvl w:ilvl="8">
      <w:start w:val="1"/>
      <w:numFmt w:val="decimal"/>
      <w:isLgl/>
      <w:lvlText w:val="%1.%2.%3.%4.%5.%6.%7.%8.%9"/>
      <w:lvlJc w:val="left"/>
      <w:pPr>
        <w:ind w:left="1800" w:hanging="1800"/>
      </w:pPr>
      <w:rPr>
        <w:rFonts w:ascii="Arial" w:eastAsia="Times New Roman" w:hAnsi="Arial" w:cs="Times New Roman" w:hint="default"/>
        <w:b/>
        <w:color w:val="1F497D"/>
        <w:sz w:val="24"/>
      </w:rPr>
    </w:lvl>
  </w:abstractNum>
  <w:abstractNum w:abstractNumId="7" w15:restartNumberingAfterBreak="0">
    <w:nsid w:val="24C01E0A"/>
    <w:multiLevelType w:val="hybridMultilevel"/>
    <w:tmpl w:val="58C288A4"/>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27715E2D"/>
    <w:multiLevelType w:val="hybridMultilevel"/>
    <w:tmpl w:val="6DF49A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9C64D1A"/>
    <w:multiLevelType w:val="hybridMultilevel"/>
    <w:tmpl w:val="B14EA9D2"/>
    <w:lvl w:ilvl="0" w:tplc="140A0001">
      <w:start w:val="1"/>
      <w:numFmt w:val="bullet"/>
      <w:lvlText w:val=""/>
      <w:lvlJc w:val="left"/>
      <w:pPr>
        <w:ind w:left="792" w:hanging="360"/>
      </w:pPr>
      <w:rPr>
        <w:rFonts w:ascii="Symbol" w:hAnsi="Symbol" w:hint="default"/>
      </w:rPr>
    </w:lvl>
    <w:lvl w:ilvl="1" w:tplc="140A0003" w:tentative="1">
      <w:start w:val="1"/>
      <w:numFmt w:val="bullet"/>
      <w:lvlText w:val="o"/>
      <w:lvlJc w:val="left"/>
      <w:pPr>
        <w:ind w:left="1512" w:hanging="360"/>
      </w:pPr>
      <w:rPr>
        <w:rFonts w:ascii="Courier New" w:hAnsi="Courier New" w:cs="Courier New" w:hint="default"/>
      </w:rPr>
    </w:lvl>
    <w:lvl w:ilvl="2" w:tplc="140A0005" w:tentative="1">
      <w:start w:val="1"/>
      <w:numFmt w:val="bullet"/>
      <w:lvlText w:val=""/>
      <w:lvlJc w:val="left"/>
      <w:pPr>
        <w:ind w:left="2232" w:hanging="360"/>
      </w:pPr>
      <w:rPr>
        <w:rFonts w:ascii="Wingdings" w:hAnsi="Wingdings" w:hint="default"/>
      </w:rPr>
    </w:lvl>
    <w:lvl w:ilvl="3" w:tplc="140A0001" w:tentative="1">
      <w:start w:val="1"/>
      <w:numFmt w:val="bullet"/>
      <w:lvlText w:val=""/>
      <w:lvlJc w:val="left"/>
      <w:pPr>
        <w:ind w:left="2952" w:hanging="360"/>
      </w:pPr>
      <w:rPr>
        <w:rFonts w:ascii="Symbol" w:hAnsi="Symbol" w:hint="default"/>
      </w:rPr>
    </w:lvl>
    <w:lvl w:ilvl="4" w:tplc="140A0003" w:tentative="1">
      <w:start w:val="1"/>
      <w:numFmt w:val="bullet"/>
      <w:lvlText w:val="o"/>
      <w:lvlJc w:val="left"/>
      <w:pPr>
        <w:ind w:left="3672" w:hanging="360"/>
      </w:pPr>
      <w:rPr>
        <w:rFonts w:ascii="Courier New" w:hAnsi="Courier New" w:cs="Courier New" w:hint="default"/>
      </w:rPr>
    </w:lvl>
    <w:lvl w:ilvl="5" w:tplc="140A0005" w:tentative="1">
      <w:start w:val="1"/>
      <w:numFmt w:val="bullet"/>
      <w:lvlText w:val=""/>
      <w:lvlJc w:val="left"/>
      <w:pPr>
        <w:ind w:left="4392" w:hanging="360"/>
      </w:pPr>
      <w:rPr>
        <w:rFonts w:ascii="Wingdings" w:hAnsi="Wingdings" w:hint="default"/>
      </w:rPr>
    </w:lvl>
    <w:lvl w:ilvl="6" w:tplc="140A0001" w:tentative="1">
      <w:start w:val="1"/>
      <w:numFmt w:val="bullet"/>
      <w:lvlText w:val=""/>
      <w:lvlJc w:val="left"/>
      <w:pPr>
        <w:ind w:left="5112" w:hanging="360"/>
      </w:pPr>
      <w:rPr>
        <w:rFonts w:ascii="Symbol" w:hAnsi="Symbol" w:hint="default"/>
      </w:rPr>
    </w:lvl>
    <w:lvl w:ilvl="7" w:tplc="140A0003" w:tentative="1">
      <w:start w:val="1"/>
      <w:numFmt w:val="bullet"/>
      <w:lvlText w:val="o"/>
      <w:lvlJc w:val="left"/>
      <w:pPr>
        <w:ind w:left="5832" w:hanging="360"/>
      </w:pPr>
      <w:rPr>
        <w:rFonts w:ascii="Courier New" w:hAnsi="Courier New" w:cs="Courier New" w:hint="default"/>
      </w:rPr>
    </w:lvl>
    <w:lvl w:ilvl="8" w:tplc="140A0005" w:tentative="1">
      <w:start w:val="1"/>
      <w:numFmt w:val="bullet"/>
      <w:lvlText w:val=""/>
      <w:lvlJc w:val="left"/>
      <w:pPr>
        <w:ind w:left="6552" w:hanging="360"/>
      </w:pPr>
      <w:rPr>
        <w:rFonts w:ascii="Wingdings" w:hAnsi="Wingdings" w:hint="default"/>
      </w:rPr>
    </w:lvl>
  </w:abstractNum>
  <w:abstractNum w:abstractNumId="10" w15:restartNumberingAfterBreak="0">
    <w:nsid w:val="354677FA"/>
    <w:multiLevelType w:val="hybridMultilevel"/>
    <w:tmpl w:val="018EDF1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9C20D96"/>
    <w:multiLevelType w:val="multilevel"/>
    <w:tmpl w:val="D8B2D386"/>
    <w:lvl w:ilvl="0">
      <w:start w:val="1"/>
      <w:numFmt w:val="decimal"/>
      <w:lvlText w:val="%1."/>
      <w:lvlJc w:val="left"/>
      <w:pPr>
        <w:tabs>
          <w:tab w:val="num" w:pos="0"/>
        </w:tabs>
        <w:ind w:left="432"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 w15:restartNumberingAfterBreak="0">
    <w:nsid w:val="433929D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650D12"/>
    <w:multiLevelType w:val="multilevel"/>
    <w:tmpl w:val="3BD6D88C"/>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B0838EF"/>
    <w:multiLevelType w:val="hybridMultilevel"/>
    <w:tmpl w:val="CD3E66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F540BB0"/>
    <w:multiLevelType w:val="hybridMultilevel"/>
    <w:tmpl w:val="28C0B08A"/>
    <w:lvl w:ilvl="0" w:tplc="140A0001">
      <w:start w:val="1"/>
      <w:numFmt w:val="bullet"/>
      <w:lvlText w:val=""/>
      <w:lvlJc w:val="left"/>
      <w:pPr>
        <w:ind w:left="2291" w:hanging="360"/>
      </w:pPr>
      <w:rPr>
        <w:rFonts w:ascii="Symbol" w:hAnsi="Symbol" w:hint="default"/>
      </w:rPr>
    </w:lvl>
    <w:lvl w:ilvl="1" w:tplc="140A0003" w:tentative="1">
      <w:start w:val="1"/>
      <w:numFmt w:val="bullet"/>
      <w:lvlText w:val="o"/>
      <w:lvlJc w:val="left"/>
      <w:pPr>
        <w:ind w:left="3011" w:hanging="360"/>
      </w:pPr>
      <w:rPr>
        <w:rFonts w:ascii="Courier New" w:hAnsi="Courier New" w:cs="Courier New" w:hint="default"/>
      </w:rPr>
    </w:lvl>
    <w:lvl w:ilvl="2" w:tplc="140A0005" w:tentative="1">
      <w:start w:val="1"/>
      <w:numFmt w:val="bullet"/>
      <w:lvlText w:val=""/>
      <w:lvlJc w:val="left"/>
      <w:pPr>
        <w:ind w:left="3731" w:hanging="360"/>
      </w:pPr>
      <w:rPr>
        <w:rFonts w:ascii="Wingdings" w:hAnsi="Wingdings" w:hint="default"/>
      </w:rPr>
    </w:lvl>
    <w:lvl w:ilvl="3" w:tplc="140A0001" w:tentative="1">
      <w:start w:val="1"/>
      <w:numFmt w:val="bullet"/>
      <w:lvlText w:val=""/>
      <w:lvlJc w:val="left"/>
      <w:pPr>
        <w:ind w:left="4451" w:hanging="360"/>
      </w:pPr>
      <w:rPr>
        <w:rFonts w:ascii="Symbol" w:hAnsi="Symbol" w:hint="default"/>
      </w:rPr>
    </w:lvl>
    <w:lvl w:ilvl="4" w:tplc="140A0003" w:tentative="1">
      <w:start w:val="1"/>
      <w:numFmt w:val="bullet"/>
      <w:lvlText w:val="o"/>
      <w:lvlJc w:val="left"/>
      <w:pPr>
        <w:ind w:left="5171" w:hanging="360"/>
      </w:pPr>
      <w:rPr>
        <w:rFonts w:ascii="Courier New" w:hAnsi="Courier New" w:cs="Courier New" w:hint="default"/>
      </w:rPr>
    </w:lvl>
    <w:lvl w:ilvl="5" w:tplc="140A0005" w:tentative="1">
      <w:start w:val="1"/>
      <w:numFmt w:val="bullet"/>
      <w:lvlText w:val=""/>
      <w:lvlJc w:val="left"/>
      <w:pPr>
        <w:ind w:left="5891" w:hanging="360"/>
      </w:pPr>
      <w:rPr>
        <w:rFonts w:ascii="Wingdings" w:hAnsi="Wingdings" w:hint="default"/>
      </w:rPr>
    </w:lvl>
    <w:lvl w:ilvl="6" w:tplc="140A0001" w:tentative="1">
      <w:start w:val="1"/>
      <w:numFmt w:val="bullet"/>
      <w:lvlText w:val=""/>
      <w:lvlJc w:val="left"/>
      <w:pPr>
        <w:ind w:left="6611" w:hanging="360"/>
      </w:pPr>
      <w:rPr>
        <w:rFonts w:ascii="Symbol" w:hAnsi="Symbol" w:hint="default"/>
      </w:rPr>
    </w:lvl>
    <w:lvl w:ilvl="7" w:tplc="140A0003" w:tentative="1">
      <w:start w:val="1"/>
      <w:numFmt w:val="bullet"/>
      <w:lvlText w:val="o"/>
      <w:lvlJc w:val="left"/>
      <w:pPr>
        <w:ind w:left="7331" w:hanging="360"/>
      </w:pPr>
      <w:rPr>
        <w:rFonts w:ascii="Courier New" w:hAnsi="Courier New" w:cs="Courier New" w:hint="default"/>
      </w:rPr>
    </w:lvl>
    <w:lvl w:ilvl="8" w:tplc="140A0005" w:tentative="1">
      <w:start w:val="1"/>
      <w:numFmt w:val="bullet"/>
      <w:lvlText w:val=""/>
      <w:lvlJc w:val="left"/>
      <w:pPr>
        <w:ind w:left="8051" w:hanging="360"/>
      </w:pPr>
      <w:rPr>
        <w:rFonts w:ascii="Wingdings" w:hAnsi="Wingdings" w:hint="default"/>
      </w:rPr>
    </w:lvl>
  </w:abstractNum>
  <w:abstractNum w:abstractNumId="16" w15:restartNumberingAfterBreak="0">
    <w:nsid w:val="558C1A27"/>
    <w:multiLevelType w:val="multilevel"/>
    <w:tmpl w:val="CF5A2730"/>
    <w:lvl w:ilvl="0">
      <w:start w:val="10"/>
      <w:numFmt w:val="decimal"/>
      <w:lvlText w:val="%1."/>
      <w:lvlJc w:val="left"/>
      <w:pPr>
        <w:ind w:left="720" w:hanging="360"/>
      </w:pPr>
      <w:rPr>
        <w:rFonts w:ascii="Arial" w:hAnsi="Arial" w:cs="Arial" w:hint="default"/>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BD535C9"/>
    <w:multiLevelType w:val="hybridMultilevel"/>
    <w:tmpl w:val="3828D6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59A1975"/>
    <w:multiLevelType w:val="hybridMultilevel"/>
    <w:tmpl w:val="875EB4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75A247E"/>
    <w:multiLevelType w:val="hybridMultilevel"/>
    <w:tmpl w:val="455065B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15:restartNumberingAfterBreak="0">
    <w:nsid w:val="6E0C1A88"/>
    <w:multiLevelType w:val="hybridMultilevel"/>
    <w:tmpl w:val="FA58921C"/>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EDC3349"/>
    <w:multiLevelType w:val="hybridMultilevel"/>
    <w:tmpl w:val="9454F4C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7202173E"/>
    <w:multiLevelType w:val="multilevel"/>
    <w:tmpl w:val="9BB88C32"/>
    <w:lvl w:ilvl="0">
      <w:start w:val="9"/>
      <w:numFmt w:val="decimal"/>
      <w:lvlText w:val="%1."/>
      <w:lvlJc w:val="left"/>
      <w:pPr>
        <w:ind w:left="390" w:hanging="39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3" w15:restartNumberingAfterBreak="0">
    <w:nsid w:val="7BB647EE"/>
    <w:multiLevelType w:val="hybridMultilevel"/>
    <w:tmpl w:val="5608E7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2"/>
  </w:num>
  <w:num w:numId="4">
    <w:abstractNumId w:val="18"/>
  </w:num>
  <w:num w:numId="5">
    <w:abstractNumId w:val="4"/>
  </w:num>
  <w:num w:numId="6">
    <w:abstractNumId w:val="19"/>
  </w:num>
  <w:num w:numId="7">
    <w:abstractNumId w:val="20"/>
  </w:num>
  <w:num w:numId="8">
    <w:abstractNumId w:val="5"/>
  </w:num>
  <w:num w:numId="9">
    <w:abstractNumId w:val="2"/>
  </w:num>
  <w:num w:numId="10">
    <w:abstractNumId w:val="15"/>
  </w:num>
  <w:num w:numId="11">
    <w:abstractNumId w:val="11"/>
  </w:num>
  <w:num w:numId="12">
    <w:abstractNumId w:val="9"/>
  </w:num>
  <w:num w:numId="13">
    <w:abstractNumId w:val="17"/>
  </w:num>
  <w:num w:numId="14">
    <w:abstractNumId w:val="21"/>
  </w:num>
  <w:num w:numId="15">
    <w:abstractNumId w:val="7"/>
  </w:num>
  <w:num w:numId="16">
    <w:abstractNumId w:val="10"/>
  </w:num>
  <w:num w:numId="17">
    <w:abstractNumId w:val="9"/>
  </w:num>
  <w:num w:numId="18">
    <w:abstractNumId w:val="17"/>
  </w:num>
  <w:num w:numId="19">
    <w:abstractNumId w:val="8"/>
  </w:num>
  <w:num w:numId="20">
    <w:abstractNumId w:val="14"/>
  </w:num>
  <w:num w:numId="21">
    <w:abstractNumId w:val="13"/>
  </w:num>
  <w:num w:numId="22">
    <w:abstractNumId w:val="12"/>
  </w:num>
  <w:num w:numId="23">
    <w:abstractNumId w:val="6"/>
  </w:num>
  <w:num w:numId="24">
    <w:abstractNumId w:val="1"/>
  </w:num>
  <w:num w:numId="25">
    <w:abstractNumId w:val="2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EF"/>
    <w:rsid w:val="00004BD1"/>
    <w:rsid w:val="000107C0"/>
    <w:rsid w:val="0001588E"/>
    <w:rsid w:val="0001620A"/>
    <w:rsid w:val="000207EB"/>
    <w:rsid w:val="0002490C"/>
    <w:rsid w:val="0002500E"/>
    <w:rsid w:val="00030626"/>
    <w:rsid w:val="00030E25"/>
    <w:rsid w:val="00031758"/>
    <w:rsid w:val="000359FA"/>
    <w:rsid w:val="0004012A"/>
    <w:rsid w:val="00040D29"/>
    <w:rsid w:val="00044D2C"/>
    <w:rsid w:val="00044F80"/>
    <w:rsid w:val="00051013"/>
    <w:rsid w:val="00052E00"/>
    <w:rsid w:val="00055747"/>
    <w:rsid w:val="00060FBD"/>
    <w:rsid w:val="0006469A"/>
    <w:rsid w:val="00072896"/>
    <w:rsid w:val="00081ABD"/>
    <w:rsid w:val="00087EE4"/>
    <w:rsid w:val="00097935"/>
    <w:rsid w:val="000A1376"/>
    <w:rsid w:val="000A24A7"/>
    <w:rsid w:val="000A321F"/>
    <w:rsid w:val="000A389C"/>
    <w:rsid w:val="000A4D7E"/>
    <w:rsid w:val="000B0080"/>
    <w:rsid w:val="000B0F58"/>
    <w:rsid w:val="000B1AE6"/>
    <w:rsid w:val="000C0A77"/>
    <w:rsid w:val="000E4C3A"/>
    <w:rsid w:val="000F3E42"/>
    <w:rsid w:val="000F475B"/>
    <w:rsid w:val="00100217"/>
    <w:rsid w:val="00103A37"/>
    <w:rsid w:val="0010514F"/>
    <w:rsid w:val="001059CE"/>
    <w:rsid w:val="00110EEC"/>
    <w:rsid w:val="00120CD8"/>
    <w:rsid w:val="00127808"/>
    <w:rsid w:val="0013143D"/>
    <w:rsid w:val="00144C01"/>
    <w:rsid w:val="00145E8D"/>
    <w:rsid w:val="00146250"/>
    <w:rsid w:val="001532C5"/>
    <w:rsid w:val="0016674E"/>
    <w:rsid w:val="00170D5B"/>
    <w:rsid w:val="00173420"/>
    <w:rsid w:val="0018348A"/>
    <w:rsid w:val="00184068"/>
    <w:rsid w:val="00187B71"/>
    <w:rsid w:val="00190EE4"/>
    <w:rsid w:val="00191F82"/>
    <w:rsid w:val="001958B7"/>
    <w:rsid w:val="001A265A"/>
    <w:rsid w:val="001A5C5A"/>
    <w:rsid w:val="001B00C5"/>
    <w:rsid w:val="001B0994"/>
    <w:rsid w:val="001B1FA3"/>
    <w:rsid w:val="001B3325"/>
    <w:rsid w:val="001B4AFA"/>
    <w:rsid w:val="001B6045"/>
    <w:rsid w:val="001B7474"/>
    <w:rsid w:val="001C4132"/>
    <w:rsid w:val="001C7305"/>
    <w:rsid w:val="001D006F"/>
    <w:rsid w:val="001E07A9"/>
    <w:rsid w:val="001E1076"/>
    <w:rsid w:val="001E3E6C"/>
    <w:rsid w:val="001E5B47"/>
    <w:rsid w:val="00200126"/>
    <w:rsid w:val="00200AEE"/>
    <w:rsid w:val="002030FE"/>
    <w:rsid w:val="00204479"/>
    <w:rsid w:val="002134AE"/>
    <w:rsid w:val="00215D9B"/>
    <w:rsid w:val="00217E93"/>
    <w:rsid w:val="00220706"/>
    <w:rsid w:val="002246DC"/>
    <w:rsid w:val="00225235"/>
    <w:rsid w:val="002252E3"/>
    <w:rsid w:val="0022792A"/>
    <w:rsid w:val="00227D07"/>
    <w:rsid w:val="00227DEF"/>
    <w:rsid w:val="00233FFA"/>
    <w:rsid w:val="0024685A"/>
    <w:rsid w:val="00255E52"/>
    <w:rsid w:val="0025607B"/>
    <w:rsid w:val="0025658B"/>
    <w:rsid w:val="0026569C"/>
    <w:rsid w:val="00275D5A"/>
    <w:rsid w:val="00277D0B"/>
    <w:rsid w:val="00282751"/>
    <w:rsid w:val="00282F6D"/>
    <w:rsid w:val="00290408"/>
    <w:rsid w:val="00292291"/>
    <w:rsid w:val="00292BBD"/>
    <w:rsid w:val="00294239"/>
    <w:rsid w:val="002A1751"/>
    <w:rsid w:val="002A69BC"/>
    <w:rsid w:val="002C2C4A"/>
    <w:rsid w:val="002C5E87"/>
    <w:rsid w:val="002D43C1"/>
    <w:rsid w:val="002E12A5"/>
    <w:rsid w:val="002E4B8A"/>
    <w:rsid w:val="002E7669"/>
    <w:rsid w:val="002F179C"/>
    <w:rsid w:val="002F4157"/>
    <w:rsid w:val="002F498C"/>
    <w:rsid w:val="0030490F"/>
    <w:rsid w:val="0030574E"/>
    <w:rsid w:val="00310397"/>
    <w:rsid w:val="00310A53"/>
    <w:rsid w:val="00315FFD"/>
    <w:rsid w:val="00322B13"/>
    <w:rsid w:val="00335AC5"/>
    <w:rsid w:val="00341B37"/>
    <w:rsid w:val="003528FE"/>
    <w:rsid w:val="003545D3"/>
    <w:rsid w:val="00362B66"/>
    <w:rsid w:val="0036300F"/>
    <w:rsid w:val="00367C4B"/>
    <w:rsid w:val="00367F0E"/>
    <w:rsid w:val="003718D3"/>
    <w:rsid w:val="003740B0"/>
    <w:rsid w:val="003834D4"/>
    <w:rsid w:val="00386B6B"/>
    <w:rsid w:val="00387F47"/>
    <w:rsid w:val="00394532"/>
    <w:rsid w:val="003A1EB6"/>
    <w:rsid w:val="003A3880"/>
    <w:rsid w:val="003A49AF"/>
    <w:rsid w:val="003B3C82"/>
    <w:rsid w:val="003B439D"/>
    <w:rsid w:val="003C0C73"/>
    <w:rsid w:val="003D6C70"/>
    <w:rsid w:val="003E323B"/>
    <w:rsid w:val="003E3320"/>
    <w:rsid w:val="003E35C7"/>
    <w:rsid w:val="003E5209"/>
    <w:rsid w:val="003F568E"/>
    <w:rsid w:val="003F7388"/>
    <w:rsid w:val="00404DF9"/>
    <w:rsid w:val="004050D7"/>
    <w:rsid w:val="004120CF"/>
    <w:rsid w:val="00415B27"/>
    <w:rsid w:val="00426053"/>
    <w:rsid w:val="00430680"/>
    <w:rsid w:val="004308EC"/>
    <w:rsid w:val="0043627B"/>
    <w:rsid w:val="004414AC"/>
    <w:rsid w:val="00473E52"/>
    <w:rsid w:val="00482579"/>
    <w:rsid w:val="00485CCC"/>
    <w:rsid w:val="004901AF"/>
    <w:rsid w:val="004A0285"/>
    <w:rsid w:val="004A151F"/>
    <w:rsid w:val="004A432A"/>
    <w:rsid w:val="004B00AB"/>
    <w:rsid w:val="004B66F2"/>
    <w:rsid w:val="004B71AC"/>
    <w:rsid w:val="004B72BA"/>
    <w:rsid w:val="004C16E7"/>
    <w:rsid w:val="004C3BEF"/>
    <w:rsid w:val="004D1A70"/>
    <w:rsid w:val="004D42A9"/>
    <w:rsid w:val="004D4CA3"/>
    <w:rsid w:val="004D60D8"/>
    <w:rsid w:val="004E31C9"/>
    <w:rsid w:val="004F7961"/>
    <w:rsid w:val="005029B3"/>
    <w:rsid w:val="005115F8"/>
    <w:rsid w:val="005154A2"/>
    <w:rsid w:val="005249CB"/>
    <w:rsid w:val="00530554"/>
    <w:rsid w:val="00532643"/>
    <w:rsid w:val="00534AC0"/>
    <w:rsid w:val="00534D30"/>
    <w:rsid w:val="0053693E"/>
    <w:rsid w:val="005403EB"/>
    <w:rsid w:val="0054290C"/>
    <w:rsid w:val="005433F2"/>
    <w:rsid w:val="00543DE3"/>
    <w:rsid w:val="005504B4"/>
    <w:rsid w:val="00550509"/>
    <w:rsid w:val="0055222A"/>
    <w:rsid w:val="00553E9A"/>
    <w:rsid w:val="0055536E"/>
    <w:rsid w:val="00564FFF"/>
    <w:rsid w:val="005656CE"/>
    <w:rsid w:val="0056727D"/>
    <w:rsid w:val="005678DD"/>
    <w:rsid w:val="00567CA3"/>
    <w:rsid w:val="005707C0"/>
    <w:rsid w:val="00571F61"/>
    <w:rsid w:val="005747E6"/>
    <w:rsid w:val="0057798C"/>
    <w:rsid w:val="00590655"/>
    <w:rsid w:val="00591187"/>
    <w:rsid w:val="005925A6"/>
    <w:rsid w:val="005949B6"/>
    <w:rsid w:val="005A2999"/>
    <w:rsid w:val="005A40E9"/>
    <w:rsid w:val="005B27F8"/>
    <w:rsid w:val="005B368A"/>
    <w:rsid w:val="005B36E0"/>
    <w:rsid w:val="005B66AE"/>
    <w:rsid w:val="005C60F4"/>
    <w:rsid w:val="005C62C7"/>
    <w:rsid w:val="005D1802"/>
    <w:rsid w:val="005E1403"/>
    <w:rsid w:val="005E194A"/>
    <w:rsid w:val="005E4BC5"/>
    <w:rsid w:val="005F18F3"/>
    <w:rsid w:val="005F4016"/>
    <w:rsid w:val="005F62EA"/>
    <w:rsid w:val="00601941"/>
    <w:rsid w:val="0060453A"/>
    <w:rsid w:val="0061221E"/>
    <w:rsid w:val="00613379"/>
    <w:rsid w:val="006207A1"/>
    <w:rsid w:val="00620C6F"/>
    <w:rsid w:val="0062245F"/>
    <w:rsid w:val="006263A1"/>
    <w:rsid w:val="00626768"/>
    <w:rsid w:val="00627B94"/>
    <w:rsid w:val="00642869"/>
    <w:rsid w:val="00643637"/>
    <w:rsid w:val="0064593E"/>
    <w:rsid w:val="006462E7"/>
    <w:rsid w:val="0065153B"/>
    <w:rsid w:val="00653011"/>
    <w:rsid w:val="00660976"/>
    <w:rsid w:val="006611A6"/>
    <w:rsid w:val="006701D0"/>
    <w:rsid w:val="00673B08"/>
    <w:rsid w:val="00674E8B"/>
    <w:rsid w:val="00676BA8"/>
    <w:rsid w:val="00676CBC"/>
    <w:rsid w:val="00686F14"/>
    <w:rsid w:val="00691D02"/>
    <w:rsid w:val="006A0650"/>
    <w:rsid w:val="006A3F96"/>
    <w:rsid w:val="006A6BB4"/>
    <w:rsid w:val="006B2398"/>
    <w:rsid w:val="006B4856"/>
    <w:rsid w:val="006B52AB"/>
    <w:rsid w:val="006C0D71"/>
    <w:rsid w:val="006C2981"/>
    <w:rsid w:val="006C445D"/>
    <w:rsid w:val="006D52BE"/>
    <w:rsid w:val="006D6172"/>
    <w:rsid w:val="006E1FF2"/>
    <w:rsid w:val="006E2416"/>
    <w:rsid w:val="006E2DC2"/>
    <w:rsid w:val="006E523A"/>
    <w:rsid w:val="006E7FC5"/>
    <w:rsid w:val="006F3BE6"/>
    <w:rsid w:val="006F3CD0"/>
    <w:rsid w:val="006F427C"/>
    <w:rsid w:val="006F4316"/>
    <w:rsid w:val="006F5A7D"/>
    <w:rsid w:val="00706A36"/>
    <w:rsid w:val="00712472"/>
    <w:rsid w:val="00717F95"/>
    <w:rsid w:val="00722990"/>
    <w:rsid w:val="00726B03"/>
    <w:rsid w:val="00730213"/>
    <w:rsid w:val="00734B4B"/>
    <w:rsid w:val="00743C4E"/>
    <w:rsid w:val="00744D00"/>
    <w:rsid w:val="00752461"/>
    <w:rsid w:val="00755136"/>
    <w:rsid w:val="0075629A"/>
    <w:rsid w:val="00765F4F"/>
    <w:rsid w:val="00766532"/>
    <w:rsid w:val="00775587"/>
    <w:rsid w:val="00784ECA"/>
    <w:rsid w:val="00795679"/>
    <w:rsid w:val="007961A8"/>
    <w:rsid w:val="007A3F0C"/>
    <w:rsid w:val="007A5CDF"/>
    <w:rsid w:val="007A6C3A"/>
    <w:rsid w:val="007C5B46"/>
    <w:rsid w:val="007D3030"/>
    <w:rsid w:val="007D748C"/>
    <w:rsid w:val="007E1787"/>
    <w:rsid w:val="007E2D2D"/>
    <w:rsid w:val="007E7C7A"/>
    <w:rsid w:val="007F1DB4"/>
    <w:rsid w:val="007F2B05"/>
    <w:rsid w:val="007F6653"/>
    <w:rsid w:val="008006A0"/>
    <w:rsid w:val="00801429"/>
    <w:rsid w:val="00805602"/>
    <w:rsid w:val="00811E04"/>
    <w:rsid w:val="00820467"/>
    <w:rsid w:val="00824352"/>
    <w:rsid w:val="00825BB7"/>
    <w:rsid w:val="00833870"/>
    <w:rsid w:val="008363DB"/>
    <w:rsid w:val="00842949"/>
    <w:rsid w:val="00843222"/>
    <w:rsid w:val="00847048"/>
    <w:rsid w:val="00855E54"/>
    <w:rsid w:val="00857DD4"/>
    <w:rsid w:val="00864F98"/>
    <w:rsid w:val="00867EDC"/>
    <w:rsid w:val="008711A9"/>
    <w:rsid w:val="00883923"/>
    <w:rsid w:val="008857E3"/>
    <w:rsid w:val="008912F0"/>
    <w:rsid w:val="00892050"/>
    <w:rsid w:val="008A4CAE"/>
    <w:rsid w:val="008A695A"/>
    <w:rsid w:val="008C2958"/>
    <w:rsid w:val="008C641B"/>
    <w:rsid w:val="008D27BD"/>
    <w:rsid w:val="008E1168"/>
    <w:rsid w:val="008F40EF"/>
    <w:rsid w:val="008F42F7"/>
    <w:rsid w:val="008F740B"/>
    <w:rsid w:val="00905960"/>
    <w:rsid w:val="00906F0D"/>
    <w:rsid w:val="00913C31"/>
    <w:rsid w:val="00915978"/>
    <w:rsid w:val="00921B6A"/>
    <w:rsid w:val="009240C5"/>
    <w:rsid w:val="009242E6"/>
    <w:rsid w:val="00932A75"/>
    <w:rsid w:val="0093537F"/>
    <w:rsid w:val="00937D27"/>
    <w:rsid w:val="00941AEB"/>
    <w:rsid w:val="00942269"/>
    <w:rsid w:val="009513F8"/>
    <w:rsid w:val="00951CB8"/>
    <w:rsid w:val="00952E0E"/>
    <w:rsid w:val="009564AA"/>
    <w:rsid w:val="00956B61"/>
    <w:rsid w:val="00964A7F"/>
    <w:rsid w:val="00970E7B"/>
    <w:rsid w:val="00972DCB"/>
    <w:rsid w:val="00980035"/>
    <w:rsid w:val="00981672"/>
    <w:rsid w:val="009940AF"/>
    <w:rsid w:val="009949D5"/>
    <w:rsid w:val="00997583"/>
    <w:rsid w:val="009A54B8"/>
    <w:rsid w:val="009A5AAB"/>
    <w:rsid w:val="009A6A65"/>
    <w:rsid w:val="009B06C9"/>
    <w:rsid w:val="009B0C5F"/>
    <w:rsid w:val="009C0C65"/>
    <w:rsid w:val="009C3AD1"/>
    <w:rsid w:val="009D1D6F"/>
    <w:rsid w:val="009D2D99"/>
    <w:rsid w:val="009D7DFC"/>
    <w:rsid w:val="009E1061"/>
    <w:rsid w:val="009F1790"/>
    <w:rsid w:val="009F621D"/>
    <w:rsid w:val="00A002D5"/>
    <w:rsid w:val="00A00F0A"/>
    <w:rsid w:val="00A02A6E"/>
    <w:rsid w:val="00A0575F"/>
    <w:rsid w:val="00A06889"/>
    <w:rsid w:val="00A11F5B"/>
    <w:rsid w:val="00A12A63"/>
    <w:rsid w:val="00A12AD0"/>
    <w:rsid w:val="00A13778"/>
    <w:rsid w:val="00A14F47"/>
    <w:rsid w:val="00A168E4"/>
    <w:rsid w:val="00A2232A"/>
    <w:rsid w:val="00A4022B"/>
    <w:rsid w:val="00A42458"/>
    <w:rsid w:val="00A5675D"/>
    <w:rsid w:val="00A64D40"/>
    <w:rsid w:val="00A65671"/>
    <w:rsid w:val="00A715AE"/>
    <w:rsid w:val="00A720BC"/>
    <w:rsid w:val="00A72AD8"/>
    <w:rsid w:val="00A72FDB"/>
    <w:rsid w:val="00A734DF"/>
    <w:rsid w:val="00A73B6F"/>
    <w:rsid w:val="00A75848"/>
    <w:rsid w:val="00A80BCD"/>
    <w:rsid w:val="00A935D4"/>
    <w:rsid w:val="00A93D3B"/>
    <w:rsid w:val="00AA033E"/>
    <w:rsid w:val="00AA2C87"/>
    <w:rsid w:val="00AB0545"/>
    <w:rsid w:val="00AB1298"/>
    <w:rsid w:val="00AB4490"/>
    <w:rsid w:val="00AC3464"/>
    <w:rsid w:val="00AC47CD"/>
    <w:rsid w:val="00AC7FD1"/>
    <w:rsid w:val="00AD78DF"/>
    <w:rsid w:val="00AD7A90"/>
    <w:rsid w:val="00AD7C6B"/>
    <w:rsid w:val="00AE3E4F"/>
    <w:rsid w:val="00AE5829"/>
    <w:rsid w:val="00AE7933"/>
    <w:rsid w:val="00AF022D"/>
    <w:rsid w:val="00B01E8D"/>
    <w:rsid w:val="00B05F02"/>
    <w:rsid w:val="00B1007F"/>
    <w:rsid w:val="00B10935"/>
    <w:rsid w:val="00B17BEF"/>
    <w:rsid w:val="00B35A0D"/>
    <w:rsid w:val="00B35EA1"/>
    <w:rsid w:val="00B40E78"/>
    <w:rsid w:val="00B43503"/>
    <w:rsid w:val="00B44506"/>
    <w:rsid w:val="00B4646F"/>
    <w:rsid w:val="00B56181"/>
    <w:rsid w:val="00B61E07"/>
    <w:rsid w:val="00B63109"/>
    <w:rsid w:val="00B75495"/>
    <w:rsid w:val="00B81746"/>
    <w:rsid w:val="00B81B61"/>
    <w:rsid w:val="00B84003"/>
    <w:rsid w:val="00B9287D"/>
    <w:rsid w:val="00B95D7C"/>
    <w:rsid w:val="00B96C7B"/>
    <w:rsid w:val="00BA14EC"/>
    <w:rsid w:val="00BB38F1"/>
    <w:rsid w:val="00BB6CF3"/>
    <w:rsid w:val="00BB7725"/>
    <w:rsid w:val="00BC27D1"/>
    <w:rsid w:val="00BD0DE9"/>
    <w:rsid w:val="00BD4431"/>
    <w:rsid w:val="00BD60D9"/>
    <w:rsid w:val="00BD6645"/>
    <w:rsid w:val="00BD70D3"/>
    <w:rsid w:val="00BD7CE5"/>
    <w:rsid w:val="00BE094C"/>
    <w:rsid w:val="00BE68C8"/>
    <w:rsid w:val="00BF4244"/>
    <w:rsid w:val="00BF42CA"/>
    <w:rsid w:val="00C015B2"/>
    <w:rsid w:val="00C06710"/>
    <w:rsid w:val="00C06E92"/>
    <w:rsid w:val="00C12829"/>
    <w:rsid w:val="00C13278"/>
    <w:rsid w:val="00C235EA"/>
    <w:rsid w:val="00C23D6E"/>
    <w:rsid w:val="00C33EA5"/>
    <w:rsid w:val="00C34647"/>
    <w:rsid w:val="00C57B34"/>
    <w:rsid w:val="00C61239"/>
    <w:rsid w:val="00C63A97"/>
    <w:rsid w:val="00C67719"/>
    <w:rsid w:val="00C740BD"/>
    <w:rsid w:val="00C74FC6"/>
    <w:rsid w:val="00C75826"/>
    <w:rsid w:val="00C93A62"/>
    <w:rsid w:val="00CA1B35"/>
    <w:rsid w:val="00CA1B87"/>
    <w:rsid w:val="00CA2C35"/>
    <w:rsid w:val="00CA4295"/>
    <w:rsid w:val="00CA595C"/>
    <w:rsid w:val="00CA70AD"/>
    <w:rsid w:val="00CC4528"/>
    <w:rsid w:val="00CC5D0A"/>
    <w:rsid w:val="00CD1345"/>
    <w:rsid w:val="00CD2A18"/>
    <w:rsid w:val="00CD5EDA"/>
    <w:rsid w:val="00CE105E"/>
    <w:rsid w:val="00CE17F3"/>
    <w:rsid w:val="00CE2FF5"/>
    <w:rsid w:val="00CE39D8"/>
    <w:rsid w:val="00CE47DD"/>
    <w:rsid w:val="00CE4BF4"/>
    <w:rsid w:val="00CF10FD"/>
    <w:rsid w:val="00CF19BC"/>
    <w:rsid w:val="00CF70CE"/>
    <w:rsid w:val="00D2492A"/>
    <w:rsid w:val="00D26BD3"/>
    <w:rsid w:val="00D27EE7"/>
    <w:rsid w:val="00D31288"/>
    <w:rsid w:val="00D3185A"/>
    <w:rsid w:val="00D32D70"/>
    <w:rsid w:val="00D460CB"/>
    <w:rsid w:val="00D46427"/>
    <w:rsid w:val="00D535C7"/>
    <w:rsid w:val="00D61FA6"/>
    <w:rsid w:val="00D665CA"/>
    <w:rsid w:val="00D701AE"/>
    <w:rsid w:val="00D7108A"/>
    <w:rsid w:val="00D741BE"/>
    <w:rsid w:val="00D76C85"/>
    <w:rsid w:val="00D80886"/>
    <w:rsid w:val="00D90A94"/>
    <w:rsid w:val="00D93493"/>
    <w:rsid w:val="00D94528"/>
    <w:rsid w:val="00D974B5"/>
    <w:rsid w:val="00DA0310"/>
    <w:rsid w:val="00DA5B7A"/>
    <w:rsid w:val="00DA6C70"/>
    <w:rsid w:val="00DB2EA8"/>
    <w:rsid w:val="00DC2DCF"/>
    <w:rsid w:val="00DC3A31"/>
    <w:rsid w:val="00DC6DBE"/>
    <w:rsid w:val="00DD17B0"/>
    <w:rsid w:val="00DD66D6"/>
    <w:rsid w:val="00DE2A93"/>
    <w:rsid w:val="00DF3D4A"/>
    <w:rsid w:val="00DF5590"/>
    <w:rsid w:val="00E02B49"/>
    <w:rsid w:val="00E12DFE"/>
    <w:rsid w:val="00E162F5"/>
    <w:rsid w:val="00E2755D"/>
    <w:rsid w:val="00E30B95"/>
    <w:rsid w:val="00E347AC"/>
    <w:rsid w:val="00E35A25"/>
    <w:rsid w:val="00E374AA"/>
    <w:rsid w:val="00E42A76"/>
    <w:rsid w:val="00E52F90"/>
    <w:rsid w:val="00E54403"/>
    <w:rsid w:val="00E54AF0"/>
    <w:rsid w:val="00E5558D"/>
    <w:rsid w:val="00E60055"/>
    <w:rsid w:val="00E6166E"/>
    <w:rsid w:val="00E67B29"/>
    <w:rsid w:val="00E70F14"/>
    <w:rsid w:val="00E7291A"/>
    <w:rsid w:val="00E74D8E"/>
    <w:rsid w:val="00E82788"/>
    <w:rsid w:val="00E90A9E"/>
    <w:rsid w:val="00EA15C0"/>
    <w:rsid w:val="00EA30E2"/>
    <w:rsid w:val="00EA500C"/>
    <w:rsid w:val="00EB69E6"/>
    <w:rsid w:val="00EC2FEF"/>
    <w:rsid w:val="00ED4FA4"/>
    <w:rsid w:val="00ED51A2"/>
    <w:rsid w:val="00ED767D"/>
    <w:rsid w:val="00EE0D0F"/>
    <w:rsid w:val="00EE38DC"/>
    <w:rsid w:val="00EE5169"/>
    <w:rsid w:val="00EF06B8"/>
    <w:rsid w:val="00EF3387"/>
    <w:rsid w:val="00EF558C"/>
    <w:rsid w:val="00EF5824"/>
    <w:rsid w:val="00EF6158"/>
    <w:rsid w:val="00F071AB"/>
    <w:rsid w:val="00F17E01"/>
    <w:rsid w:val="00F312CA"/>
    <w:rsid w:val="00F31475"/>
    <w:rsid w:val="00F3720F"/>
    <w:rsid w:val="00F40C2B"/>
    <w:rsid w:val="00F40D88"/>
    <w:rsid w:val="00F47032"/>
    <w:rsid w:val="00F50377"/>
    <w:rsid w:val="00F549AE"/>
    <w:rsid w:val="00F55C28"/>
    <w:rsid w:val="00F66645"/>
    <w:rsid w:val="00F72E9F"/>
    <w:rsid w:val="00F74D63"/>
    <w:rsid w:val="00F756FD"/>
    <w:rsid w:val="00F8005C"/>
    <w:rsid w:val="00FA160F"/>
    <w:rsid w:val="00FA3C61"/>
    <w:rsid w:val="00FA4BE4"/>
    <w:rsid w:val="00FA5D21"/>
    <w:rsid w:val="00FA6C51"/>
    <w:rsid w:val="00FB15E1"/>
    <w:rsid w:val="00FB6B02"/>
    <w:rsid w:val="00FB6BBF"/>
    <w:rsid w:val="00FC354C"/>
    <w:rsid w:val="00FC45EB"/>
    <w:rsid w:val="00FE2134"/>
    <w:rsid w:val="00FE7E57"/>
    <w:rsid w:val="00FF2DAE"/>
    <w:rsid w:val="00FF34CD"/>
    <w:rsid w:val="00FF634B"/>
    <w:rsid w:val="00FF6B1A"/>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299418"/>
  <w15:docId w15:val="{006AB5CD-FD86-47DC-A60C-06ADB9A5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BEF"/>
  </w:style>
  <w:style w:type="paragraph" w:styleId="Ttulo1">
    <w:name w:val="heading 1"/>
    <w:basedOn w:val="Normal"/>
    <w:next w:val="Normal"/>
    <w:link w:val="Ttulo1Car"/>
    <w:uiPriority w:val="9"/>
    <w:qFormat/>
    <w:rsid w:val="00341B3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aliases w:val="recoemdnaciones"/>
    <w:basedOn w:val="Normal"/>
    <w:next w:val="Normal"/>
    <w:link w:val="Ttulo2Car"/>
    <w:uiPriority w:val="9"/>
    <w:unhideWhenUsed/>
    <w:qFormat/>
    <w:rsid w:val="00341B3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341B3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341B3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341B3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341B3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341B3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341B3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341B3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B37"/>
    <w:rPr>
      <w:rFonts w:asciiTheme="majorHAnsi" w:eastAsiaTheme="majorEastAsia" w:hAnsiTheme="majorHAnsi" w:cstheme="majorBidi"/>
      <w:color w:val="1F4E79" w:themeColor="accent1" w:themeShade="80"/>
      <w:sz w:val="36"/>
      <w:szCs w:val="36"/>
    </w:rPr>
  </w:style>
  <w:style w:type="character" w:customStyle="1" w:styleId="Ttulo2Car">
    <w:name w:val="Título 2 Car"/>
    <w:aliases w:val="recoemdnaciones Car"/>
    <w:basedOn w:val="Fuentedeprrafopredeter"/>
    <w:link w:val="Ttulo2"/>
    <w:uiPriority w:val="9"/>
    <w:rsid w:val="00341B3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341B3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341B3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341B3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341B3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341B3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341B3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341B37"/>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341B37"/>
    <w:pPr>
      <w:spacing w:line="240" w:lineRule="auto"/>
    </w:pPr>
    <w:rPr>
      <w:b/>
      <w:bCs/>
      <w:smallCaps/>
      <w:color w:val="44546A" w:themeColor="text2"/>
    </w:rPr>
  </w:style>
  <w:style w:type="paragraph" w:styleId="Ttulo">
    <w:name w:val="Title"/>
    <w:basedOn w:val="Normal"/>
    <w:next w:val="Normal"/>
    <w:link w:val="TtuloCar"/>
    <w:uiPriority w:val="10"/>
    <w:qFormat/>
    <w:rsid w:val="00341B3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341B3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341B3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341B37"/>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341B37"/>
    <w:rPr>
      <w:b/>
      <w:bCs/>
    </w:rPr>
  </w:style>
  <w:style w:type="character" w:styleId="nfasis">
    <w:name w:val="Emphasis"/>
    <w:basedOn w:val="Fuentedeprrafopredeter"/>
    <w:uiPriority w:val="20"/>
    <w:qFormat/>
    <w:rsid w:val="00341B37"/>
    <w:rPr>
      <w:i/>
      <w:iCs/>
    </w:rPr>
  </w:style>
  <w:style w:type="paragraph" w:styleId="Sinespaciado">
    <w:name w:val="No Spacing"/>
    <w:link w:val="SinespaciadoCar"/>
    <w:uiPriority w:val="1"/>
    <w:qFormat/>
    <w:rsid w:val="00341B37"/>
    <w:pPr>
      <w:spacing w:after="0" w:line="240" w:lineRule="auto"/>
    </w:pPr>
  </w:style>
  <w:style w:type="character" w:customStyle="1" w:styleId="SinespaciadoCar">
    <w:name w:val="Sin espaciado Car"/>
    <w:basedOn w:val="Fuentedeprrafopredeter"/>
    <w:link w:val="Sinespaciado"/>
    <w:uiPriority w:val="1"/>
    <w:rsid w:val="00341B37"/>
  </w:style>
  <w:style w:type="paragraph" w:styleId="Prrafodelista">
    <w:name w:val="List Paragraph"/>
    <w:basedOn w:val="Normal"/>
    <w:link w:val="PrrafodelistaCar"/>
    <w:uiPriority w:val="34"/>
    <w:qFormat/>
    <w:rsid w:val="00341B37"/>
    <w:pPr>
      <w:ind w:left="720"/>
      <w:contextualSpacing/>
    </w:pPr>
  </w:style>
  <w:style w:type="paragraph" w:styleId="Cita">
    <w:name w:val="Quote"/>
    <w:basedOn w:val="Normal"/>
    <w:next w:val="Normal"/>
    <w:link w:val="CitaCar"/>
    <w:uiPriority w:val="29"/>
    <w:qFormat/>
    <w:rsid w:val="00341B3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341B37"/>
    <w:rPr>
      <w:color w:val="44546A" w:themeColor="text2"/>
      <w:sz w:val="24"/>
      <w:szCs w:val="24"/>
    </w:rPr>
  </w:style>
  <w:style w:type="paragraph" w:styleId="Citadestacada">
    <w:name w:val="Intense Quote"/>
    <w:basedOn w:val="Normal"/>
    <w:next w:val="Normal"/>
    <w:link w:val="CitadestacadaCar"/>
    <w:uiPriority w:val="30"/>
    <w:qFormat/>
    <w:rsid w:val="00341B3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41B3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41B37"/>
    <w:rPr>
      <w:i/>
      <w:iCs/>
      <w:color w:val="595959" w:themeColor="text1" w:themeTint="A6"/>
    </w:rPr>
  </w:style>
  <w:style w:type="character" w:styleId="nfasisintenso">
    <w:name w:val="Intense Emphasis"/>
    <w:basedOn w:val="Fuentedeprrafopredeter"/>
    <w:uiPriority w:val="21"/>
    <w:qFormat/>
    <w:rsid w:val="00341B37"/>
    <w:rPr>
      <w:b/>
      <w:bCs/>
      <w:i/>
      <w:iCs/>
    </w:rPr>
  </w:style>
  <w:style w:type="character" w:styleId="Referenciasutil">
    <w:name w:val="Subtle Reference"/>
    <w:basedOn w:val="Fuentedeprrafopredeter"/>
    <w:uiPriority w:val="31"/>
    <w:qFormat/>
    <w:rsid w:val="00341B3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41B37"/>
    <w:rPr>
      <w:b/>
      <w:bCs/>
      <w:smallCaps/>
      <w:color w:val="44546A" w:themeColor="text2"/>
      <w:u w:val="single"/>
    </w:rPr>
  </w:style>
  <w:style w:type="character" w:styleId="Ttulodellibro">
    <w:name w:val="Book Title"/>
    <w:basedOn w:val="Fuentedeprrafopredeter"/>
    <w:uiPriority w:val="33"/>
    <w:qFormat/>
    <w:rsid w:val="00341B37"/>
    <w:rPr>
      <w:b/>
      <w:bCs/>
      <w:smallCaps/>
      <w:spacing w:val="10"/>
    </w:rPr>
  </w:style>
  <w:style w:type="paragraph" w:styleId="TtuloTDC">
    <w:name w:val="TOC Heading"/>
    <w:basedOn w:val="Ttulo1"/>
    <w:next w:val="Normal"/>
    <w:uiPriority w:val="39"/>
    <w:semiHidden/>
    <w:unhideWhenUsed/>
    <w:qFormat/>
    <w:rsid w:val="00341B37"/>
    <w:pPr>
      <w:outlineLvl w:val="9"/>
    </w:pPr>
  </w:style>
  <w:style w:type="paragraph" w:styleId="Encabezado">
    <w:name w:val="header"/>
    <w:basedOn w:val="Normal"/>
    <w:link w:val="EncabezadoCar"/>
    <w:uiPriority w:val="99"/>
    <w:unhideWhenUsed/>
    <w:rsid w:val="00B17B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BEF"/>
  </w:style>
  <w:style w:type="paragraph" w:styleId="Piedepgina">
    <w:name w:val="footer"/>
    <w:basedOn w:val="Normal"/>
    <w:link w:val="PiedepginaCar"/>
    <w:uiPriority w:val="99"/>
    <w:unhideWhenUsed/>
    <w:rsid w:val="00B17B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BEF"/>
  </w:style>
  <w:style w:type="paragraph" w:styleId="Textodeglobo">
    <w:name w:val="Balloon Text"/>
    <w:basedOn w:val="Normal"/>
    <w:link w:val="TextodegloboCar"/>
    <w:uiPriority w:val="99"/>
    <w:semiHidden/>
    <w:unhideWhenUsed/>
    <w:rsid w:val="00B17B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BEF"/>
    <w:rPr>
      <w:rFonts w:ascii="Tahoma" w:hAnsi="Tahoma" w:cs="Tahoma"/>
      <w:sz w:val="16"/>
      <w:szCs w:val="16"/>
    </w:rPr>
  </w:style>
  <w:style w:type="character" w:styleId="Refdecomentario">
    <w:name w:val="annotation reference"/>
    <w:basedOn w:val="Fuentedeprrafopredeter"/>
    <w:uiPriority w:val="99"/>
    <w:semiHidden/>
    <w:unhideWhenUsed/>
    <w:rsid w:val="007F1DB4"/>
    <w:rPr>
      <w:sz w:val="16"/>
      <w:szCs w:val="16"/>
    </w:rPr>
  </w:style>
  <w:style w:type="paragraph" w:styleId="Textocomentario">
    <w:name w:val="annotation text"/>
    <w:basedOn w:val="Normal"/>
    <w:link w:val="TextocomentarioCar"/>
    <w:uiPriority w:val="99"/>
    <w:unhideWhenUsed/>
    <w:rsid w:val="007F1DB4"/>
    <w:pPr>
      <w:suppressAutoHyphens/>
      <w:spacing w:after="200" w:line="240" w:lineRule="auto"/>
    </w:pPr>
    <w:rPr>
      <w:rFonts w:ascii="Calibri" w:eastAsia="Droid Sans Fallback" w:hAnsi="Calibri" w:cs="Calibri"/>
      <w:color w:val="00000A"/>
      <w:kern w:val="1"/>
      <w:sz w:val="20"/>
      <w:szCs w:val="20"/>
    </w:rPr>
  </w:style>
  <w:style w:type="character" w:customStyle="1" w:styleId="TextocomentarioCar">
    <w:name w:val="Texto comentario Car"/>
    <w:basedOn w:val="Fuentedeprrafopredeter"/>
    <w:link w:val="Textocomentario"/>
    <w:uiPriority w:val="99"/>
    <w:rsid w:val="007F1DB4"/>
    <w:rPr>
      <w:rFonts w:ascii="Calibri" w:eastAsia="Droid Sans Fallback" w:hAnsi="Calibri" w:cs="Calibri"/>
      <w:color w:val="00000A"/>
      <w:kern w:val="1"/>
      <w:sz w:val="20"/>
      <w:szCs w:val="20"/>
    </w:rPr>
  </w:style>
  <w:style w:type="character" w:customStyle="1" w:styleId="PrrafodelistaCar">
    <w:name w:val="Párrafo de lista Car"/>
    <w:basedOn w:val="Fuentedeprrafopredeter"/>
    <w:link w:val="Prrafodelista"/>
    <w:uiPriority w:val="34"/>
    <w:locked/>
    <w:rsid w:val="007F1DB4"/>
  </w:style>
  <w:style w:type="paragraph" w:styleId="TDC1">
    <w:name w:val="toc 1"/>
    <w:basedOn w:val="Normal"/>
    <w:next w:val="Normal"/>
    <w:autoRedefine/>
    <w:uiPriority w:val="39"/>
    <w:unhideWhenUsed/>
    <w:rsid w:val="007F1DB4"/>
    <w:pPr>
      <w:spacing w:after="100"/>
    </w:pPr>
  </w:style>
  <w:style w:type="character" w:styleId="Hipervnculo">
    <w:name w:val="Hyperlink"/>
    <w:basedOn w:val="Fuentedeprrafopredeter"/>
    <w:uiPriority w:val="99"/>
    <w:unhideWhenUsed/>
    <w:rsid w:val="007F1DB4"/>
    <w:rPr>
      <w:color w:val="0563C1" w:themeColor="hyperlink"/>
      <w:u w:val="single"/>
    </w:rPr>
  </w:style>
  <w:style w:type="table" w:styleId="Tablaconcuadrcula">
    <w:name w:val="Table Grid"/>
    <w:basedOn w:val="Tablanormal"/>
    <w:uiPriority w:val="39"/>
    <w:rsid w:val="000B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0B1AE6"/>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concuadrcula12">
    <w:name w:val="Tabla con cuadrícula12"/>
    <w:basedOn w:val="Tablanormal"/>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3E520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Nmerodelnea">
    <w:name w:val="line number"/>
    <w:basedOn w:val="Fuentedeprrafopredeter"/>
    <w:uiPriority w:val="99"/>
    <w:semiHidden/>
    <w:unhideWhenUsed/>
    <w:rsid w:val="008F740B"/>
  </w:style>
  <w:style w:type="table" w:styleId="Listaclara-nfasis1">
    <w:name w:val="Light List Accent 1"/>
    <w:basedOn w:val="Tablanormal"/>
    <w:uiPriority w:val="61"/>
    <w:rsid w:val="00B1007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aconcuadrcula121">
    <w:name w:val="Tabla con cuadrícula121"/>
    <w:basedOn w:val="Tablanormal"/>
    <w:rsid w:val="00674E8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C5F"/>
    <w:pPr>
      <w:autoSpaceDE w:val="0"/>
      <w:autoSpaceDN w:val="0"/>
      <w:adjustRightInd w:val="0"/>
      <w:spacing w:after="0" w:line="240" w:lineRule="auto"/>
    </w:pPr>
    <w:rPr>
      <w:rFonts w:ascii="Georgia" w:hAnsi="Georgia" w:cs="Georgia"/>
      <w:color w:val="000000"/>
      <w:sz w:val="24"/>
      <w:szCs w:val="24"/>
    </w:rPr>
  </w:style>
  <w:style w:type="table" w:customStyle="1" w:styleId="Tablaconcuadrcula132">
    <w:name w:val="Tabla con cuadrícula132"/>
    <w:basedOn w:val="Tablanormal"/>
    <w:next w:val="Tablaconcuadrcula"/>
    <w:rsid w:val="009B0C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5222A"/>
    <w:pPr>
      <w:spacing w:after="100"/>
      <w:ind w:left="220"/>
    </w:pPr>
  </w:style>
  <w:style w:type="paragraph" w:styleId="Textoindependiente">
    <w:name w:val="Body Text"/>
    <w:basedOn w:val="Normal"/>
    <w:link w:val="TextoindependienteCar"/>
    <w:rsid w:val="00857DD4"/>
    <w:pPr>
      <w:widowControl w:val="0"/>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57DD4"/>
    <w:rPr>
      <w:rFonts w:ascii="Arial" w:eastAsia="Times New Roman" w:hAnsi="Arial" w:cs="Times New Roman"/>
      <w:sz w:val="24"/>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3627B"/>
    <w:pPr>
      <w:suppressAutoHyphens w:val="0"/>
      <w:spacing w:after="160"/>
    </w:pPr>
    <w:rPr>
      <w:rFonts w:asciiTheme="minorHAnsi" w:eastAsiaTheme="minorHAnsi" w:hAnsiTheme="minorHAnsi" w:cstheme="minorBidi"/>
      <w:b/>
      <w:bCs/>
      <w:color w:val="auto"/>
      <w:kern w:val="0"/>
    </w:rPr>
  </w:style>
  <w:style w:type="character" w:customStyle="1" w:styleId="AsuntodelcomentarioCar">
    <w:name w:val="Asunto del comentario Car"/>
    <w:basedOn w:val="TextocomentarioCar"/>
    <w:link w:val="Asuntodelcomentario"/>
    <w:uiPriority w:val="99"/>
    <w:semiHidden/>
    <w:rsid w:val="0043627B"/>
    <w:rPr>
      <w:rFonts w:ascii="Calibri" w:eastAsia="Droid Sans Fallback" w:hAnsi="Calibri" w:cs="Calibri"/>
      <w:b/>
      <w:bCs/>
      <w:color w:val="00000A"/>
      <w:kern w:val="1"/>
      <w:sz w:val="20"/>
      <w:szCs w:val="20"/>
    </w:rPr>
  </w:style>
  <w:style w:type="character" w:customStyle="1" w:styleId="normaltextrun1">
    <w:name w:val="normaltextrun1"/>
    <w:basedOn w:val="Fuentedeprrafopredeter"/>
    <w:rsid w:val="003B3C82"/>
  </w:style>
  <w:style w:type="table" w:customStyle="1" w:styleId="Estilo1">
    <w:name w:val="Estilo1"/>
    <w:basedOn w:val="Tablanormal"/>
    <w:uiPriority w:val="99"/>
    <w:rsid w:val="00FB6BBF"/>
    <w:pPr>
      <w:spacing w:after="0" w:line="240" w:lineRule="auto"/>
    </w:pPr>
    <w:rPr>
      <w:sz w:val="24"/>
      <w:szCs w:val="24"/>
      <w:lang w:val="es-ES_tradnl"/>
    </w:rPr>
    <w:tblPr/>
  </w:style>
  <w:style w:type="paragraph" w:styleId="Textonotapie">
    <w:name w:val="footnote text"/>
    <w:basedOn w:val="Normal"/>
    <w:link w:val="TextonotapieCar"/>
    <w:uiPriority w:val="99"/>
    <w:semiHidden/>
    <w:unhideWhenUsed/>
    <w:rsid w:val="00430680"/>
    <w:pPr>
      <w:spacing w:after="0" w:line="240" w:lineRule="auto"/>
    </w:pPr>
    <w:rPr>
      <w:rFonts w:eastAsiaTheme="minorEastAsia"/>
      <w:sz w:val="20"/>
      <w:szCs w:val="20"/>
      <w:lang w:eastAsia="es-ES"/>
    </w:rPr>
  </w:style>
  <w:style w:type="character" w:customStyle="1" w:styleId="TextonotapieCar">
    <w:name w:val="Texto nota pie Car"/>
    <w:basedOn w:val="Fuentedeprrafopredeter"/>
    <w:link w:val="Textonotapie"/>
    <w:uiPriority w:val="99"/>
    <w:semiHidden/>
    <w:rsid w:val="00430680"/>
    <w:rPr>
      <w:rFonts w:eastAsiaTheme="minorEastAsia"/>
      <w:sz w:val="20"/>
      <w:szCs w:val="20"/>
      <w:lang w:eastAsia="es-ES"/>
    </w:rPr>
  </w:style>
  <w:style w:type="character" w:styleId="Refdenotaalpie">
    <w:name w:val="footnote reference"/>
    <w:basedOn w:val="Fuentedeprrafopredeter"/>
    <w:uiPriority w:val="99"/>
    <w:semiHidden/>
    <w:unhideWhenUsed/>
    <w:rsid w:val="00430680"/>
    <w:rPr>
      <w:vertAlign w:val="superscript"/>
    </w:rPr>
  </w:style>
  <w:style w:type="paragraph" w:styleId="Listaconnmeros">
    <w:name w:val="List Number"/>
    <w:basedOn w:val="Normal"/>
    <w:uiPriority w:val="99"/>
    <w:unhideWhenUsed/>
    <w:rsid w:val="00C13278"/>
    <w:pPr>
      <w:spacing w:after="-1" w:afterAutospacing="1" w:line="240" w:lineRule="auto"/>
      <w:contextualSpacing/>
      <w:jc w:val="both"/>
    </w:pPr>
    <w:rPr>
      <w:rFonts w:ascii="Arial Narrow" w:hAnsi="Arial Narrow"/>
      <w:sz w:val="24"/>
      <w:szCs w:val="24"/>
      <w:lang w:val="es-ES_tradnl"/>
    </w:rPr>
  </w:style>
  <w:style w:type="character" w:styleId="Nmerodepgina">
    <w:name w:val="page number"/>
    <w:basedOn w:val="Fuentedeprrafopredeter"/>
    <w:uiPriority w:val="99"/>
    <w:semiHidden/>
    <w:unhideWhenUsed/>
    <w:rsid w:val="00C13278"/>
  </w:style>
  <w:style w:type="character" w:customStyle="1" w:styleId="ui-provider">
    <w:name w:val="ui-provider"/>
    <w:basedOn w:val="Fuentedeprrafopredeter"/>
    <w:rsid w:val="00DD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835635">
      <w:bodyDiv w:val="1"/>
      <w:marLeft w:val="0"/>
      <w:marRight w:val="0"/>
      <w:marTop w:val="0"/>
      <w:marBottom w:val="0"/>
      <w:divBdr>
        <w:top w:val="none" w:sz="0" w:space="0" w:color="auto"/>
        <w:left w:val="none" w:sz="0" w:space="0" w:color="auto"/>
        <w:bottom w:val="none" w:sz="0" w:space="0" w:color="auto"/>
        <w:right w:val="none" w:sz="0" w:space="0" w:color="auto"/>
      </w:divBdr>
    </w:div>
    <w:div w:id="1270579066">
      <w:bodyDiv w:val="1"/>
      <w:marLeft w:val="0"/>
      <w:marRight w:val="0"/>
      <w:marTop w:val="0"/>
      <w:marBottom w:val="0"/>
      <w:divBdr>
        <w:top w:val="none" w:sz="0" w:space="0" w:color="auto"/>
        <w:left w:val="none" w:sz="0" w:space="0" w:color="auto"/>
        <w:bottom w:val="none" w:sz="0" w:space="0" w:color="auto"/>
        <w:right w:val="none" w:sz="0" w:space="0" w:color="auto"/>
      </w:divBdr>
    </w:div>
    <w:div w:id="165244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acienda.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lSLkrrzP/Kc/MzAQMNxwcfbvO8sBnCRKfHw6UcwzvLI=</DigestValue>
    </Reference>
    <Reference Type="http://www.w3.org/2000/09/xmldsig#Object" URI="#idOfficeObject">
      <DigestMethod Algorithm="http://www.w3.org/2001/04/xmlenc#sha256"/>
      <DigestValue>gWSiQ14A37qIAkGqi02AfTparmfltdAsUMsUjEbfAGc=</DigestValue>
    </Reference>
    <Reference Type="http://uri.etsi.org/01903#SignedProperties" URI="#idSignedProperties">
      <Transforms>
        <Transform Algorithm="http://www.w3.org/TR/2001/REC-xml-c14n-20010315"/>
      </Transforms>
      <DigestMethod Algorithm="http://www.w3.org/2001/04/xmlenc#sha256"/>
      <DigestValue>J42omtPXwxnCcAAwKoZnxcG+rdHpE0iBKtF2Lpw7X0c=</DigestValue>
    </Reference>
  </SignedInfo>
  <SignatureValue>RQ5+M090yp7uaQWw2wzlz5/K4IGv1vbxSV5oQkgvFKwXevk/5WN1RNs66zmRxI+nVH67pALgTua5
kHB5A2hsvSso9pUqqTpxjYXTuZzPrL5kjtPvfx+fTq1cn+hHecWdCDg6MSOnnYgm3sCQv9UNSMbJ
1AHcJqeSVwNexbjq5OBYV1xw6PGuGDl/rBoIVYK+pf0pKmCtUiUxy7pWZOarI4C8+ll9OpexARNq
6IWwFAqkljIgdhQLaTiTPcployJuxwZwmG15n0KWQgl0h7LDMiXbhZrZXzPg8HKDfada1ssToa26
+ujTkMn7ojo74ZSTrCQ3ekp+Sle6/Qnk9g0m0g==</SignatureValue>
  <KeyInfo>
    <X509Data>
      <X509Certificate>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4gj5yYNrJXInmz1U3NmOpLnv8erACq0rusVYMP6cT0dPcqVkV3khHKhxkSig4fKbmzE6babrav0YOcAvq9dwlypB+NKJ6JBXDJlby9q5yG/sman+EY2OE2/zrSYT8Ndbyw5aRUCT1ueiZuyEvPfvelbjshzvisWjdzdjckPkddNODUGCwtrm5NEp6/tAD+/ih7LNMYz6M+X+N9LjaOBY/3CIHC4/cRTDKEpbXJyObhJXoMu6AK0rIpaG69oy8H3FoolHiiXL61/kgVEzOJQtREO1qaVyU4FZDpazw93JWgUz5wPQ0g60NOGIw5eDARKd+1eRmtSoYATy9b6J5xLGm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Transform>
          <Transform Algorithm="http://www.w3.org/TR/2001/REC-xml-c14n-20010315"/>
        </Transforms>
        <DigestMethod Algorithm="http://www.w3.org/2001/04/xmlenc#sha256"/>
        <DigestValue>6cGiwnih15fuOZq4pJRvR4dW5K0PW59Hr4TM9hOc8JQ=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iW0nKJb4vs80tw8f5+bwiGY++F8UvrrG5MChUmSr1d8=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K9gQSolXPDLinAOSvab6vdXf+5gvjY7o+h+YiA9ZSG8=</DigestValue>
      </Reference>
      <Reference URI="/word/endnotes.xml?ContentType=application/vnd.openxmlformats-officedocument.wordprocessingml.endnotes+xml">
        <DigestMethod Algorithm="http://www.w3.org/2001/04/xmlenc#sha256"/>
        <DigestValue>YJ1qXl/M9DMTG4jIxJ707sHZUL3KSIX5lxb3HmYfjkk=</DigestValue>
      </Reference>
      <Reference URI="/word/fontTable.xml?ContentType=application/vnd.openxmlformats-officedocument.wordprocessingml.fontTable+xml">
        <DigestMethod Algorithm="http://www.w3.org/2001/04/xmlenc#sha256"/>
        <DigestValue>Uy4pFb/akaZZCctZYnr6sT8Y5QpfBCTUxFzqxfyQtVg=</DigestValue>
      </Reference>
      <Reference URI="/word/footer1.xml?ContentType=application/vnd.openxmlformats-officedocument.wordprocessingml.footer+xml">
        <DigestMethod Algorithm="http://www.w3.org/2001/04/xmlenc#sha256"/>
        <DigestValue>R4S7rG9hgQ+oFrk2V4393wYChiyE6/GTRw4HEBEd5ts=</DigestValue>
      </Reference>
      <Reference URI="/word/footnotes.xml?ContentType=application/vnd.openxmlformats-officedocument.wordprocessingml.footnotes+xml">
        <DigestMethod Algorithm="http://www.w3.org/2001/04/xmlenc#sha256"/>
        <DigestValue>0fLm/VPde4VWTcGVaFovmJpfRqqXNrrkjTb6HPVWnW4=</DigestValue>
      </Reference>
      <Reference URI="/word/header1.xml?ContentType=application/vnd.openxmlformats-officedocument.wordprocessingml.header+xml">
        <DigestMethod Algorithm="http://www.w3.org/2001/04/xmlenc#sha256"/>
        <DigestValue>1hFkeCIty6+pSZxjCceV576xJXXaUCCYlzL1SLL/8RE=</DigestValue>
      </Reference>
      <Reference URI="/word/header2.xml?ContentType=application/vnd.openxmlformats-officedocument.wordprocessingml.header+xml">
        <DigestMethod Algorithm="http://www.w3.org/2001/04/xmlenc#sha256"/>
        <DigestValue>kp3dmTmbOZI3vrtYS3AIbX+SFf17nCRZOkpsagiVwGk=</DigestValue>
      </Reference>
      <Reference URI="/word/header3.xml?ContentType=application/vnd.openxmlformats-officedocument.wordprocessingml.header+xml">
        <DigestMethod Algorithm="http://www.w3.org/2001/04/xmlenc#sha256"/>
        <DigestValue>HIpawiY2jGTVl/6UfIxtHlCruBDduByuGXf9ECwyS60=</DigestValue>
      </Reference>
      <Reference URI="/word/media/image1.png?ContentType=image/png">
        <DigestMethod Algorithm="http://www.w3.org/2001/04/xmlenc#sha256"/>
        <DigestValue>2az1QkbeVTWxm4WME9COuoAeKoSeaQ1FhpXLmNaI3gc=</DigestValue>
      </Reference>
      <Reference URI="/word/media/image2.png?ContentType=image/png">
        <DigestMethod Algorithm="http://www.w3.org/2001/04/xmlenc#sha256"/>
        <DigestValue>UeDNjBzfNJqsvs4XTXJY/9J0cXTAVjeds2+5GIfU8dc=</DigestValue>
      </Reference>
      <Reference URI="/word/media/image3.png?ContentType=image/png">
        <DigestMethod Algorithm="http://www.w3.org/2001/04/xmlenc#sha256"/>
        <DigestValue>zUWcxKDoJ/DmWR94pwqE2ThRi9zlHuyZG1chGUW1e7M=</DigestValue>
      </Reference>
      <Reference URI="/word/numbering.xml?ContentType=application/vnd.openxmlformats-officedocument.wordprocessingml.numbering+xml">
        <DigestMethod Algorithm="http://www.w3.org/2001/04/xmlenc#sha256"/>
        <DigestValue>glMQIW5juhTktV1QmqUZOegBqLiYYZxaAs51ehk+b6g=</DigestValue>
      </Reference>
      <Reference URI="/word/settings.xml?ContentType=application/vnd.openxmlformats-officedocument.wordprocessingml.settings+xml">
        <DigestMethod Algorithm="http://www.w3.org/2001/04/xmlenc#sha256"/>
        <DigestValue>eUjvxnzP8uGk57vo36hopngTxPANqQLzr6p9wk/rQdI=</DigestValue>
      </Reference>
      <Reference URI="/word/styles.xml?ContentType=application/vnd.openxmlformats-officedocument.wordprocessingml.styles+xml">
        <DigestMethod Algorithm="http://www.w3.org/2001/04/xmlenc#sha256"/>
        <DigestValue>s75+t/faNXRqOD5lgruuyxOzgcf7+Jaqrlybg6hWn2s=</DigestValue>
      </Reference>
      <Reference URI="/word/theme/theme1.xml?ContentType=application/vnd.openxmlformats-officedocument.theme+xml">
        <DigestMethod Algorithm="http://www.w3.org/2001/04/xmlenc#sha256"/>
        <DigestValue>/iyzphInI2DwXmDDHE/u3DugwUhPLD8TPAgEPJyVblI=</DigestValue>
      </Reference>
      <Reference URI="/word/webSettings.xml?ContentType=application/vnd.openxmlformats-officedocument.wordprocessingml.webSettings+xml">
        <DigestMethod Algorithm="http://www.w3.org/2001/04/xmlenc#sha256"/>
        <DigestValue>sgx/yWBNJJmlxNz937BSkPDyK8PiJ+SIszMTthmPW/4=</DigestValue>
      </Reference>
    </Manifest>
    <SignatureProperties>
      <SignatureProperty Id="idSignatureTime" Target="#idPackageSignature">
        <mdssi:SignatureTime xmlns:mdssi="http://schemas.openxmlformats.org/package/2006/digital-signature">
          <mdssi:Format>YYYY-MM-DDThh:mm:ssTZD</mdssi:Format>
          <mdssi:Value>2023-03-30T20:28:31Z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16.0.10396/14</OfficeVersion>
          <ApplicationVersion>16.0.10396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2023-03-30T20:28:31Z</xd:SigningTime>
          <xd:SigningCertificate>
            <xd:Cert>
              <xd:CertDigest>
                <DigestMethod Algorithm="http://www.w3.org/2001/04/xmlenc#sha256"/>
                <DigestValue>DPBbXCd5vMAANMrj0EMi4Xv5SjlOysQhcvcRUNXggxY=</DigestValue>
              </xd:CertDigest>
              <xd:IssuerSerial>
                <X509IssuerName>CN=CA SINPE - PERSONA FISICA v2, OU=DIVISION SISTEMAS DE PAGO, O=BANCO CENTRAL DE COSTA RICA, C=CR, SERIALNUMBER=CPJ-4-000-004017</X509IssuerName>
                <X509SerialNumber>446018015749506611828208044794966923121599754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EA6307D80F14BAB3957142425D0C0" ma:contentTypeVersion="15" ma:contentTypeDescription="Crear nuevo documento." ma:contentTypeScope="" ma:versionID="ae52f02bc06af10c490661b342277767">
  <xsd:schema xmlns:xsd="http://www.w3.org/2001/XMLSchema" xmlns:xs="http://www.w3.org/2001/XMLSchema" xmlns:p="http://schemas.microsoft.com/office/2006/metadata/properties" xmlns:ns3="ca0b8503-558e-4550-823a-26f008707f9a" xmlns:ns4="9f1d2543-a317-404b-b796-299c7d331056" targetNamespace="http://schemas.microsoft.com/office/2006/metadata/properties" ma:root="true" ma:fieldsID="aff77a3dc1d6df4de4e0bffe88c35e49" ns3:_="" ns4:_="">
    <xsd:import namespace="ca0b8503-558e-4550-823a-26f008707f9a"/>
    <xsd:import namespace="9f1d2543-a317-404b-b796-299c7d3310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b8503-558e-4550-823a-26f008707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1d2543-a317-404b-b796-299c7d33105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a0b8503-558e-4550-823a-26f008707f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239DC-5A3C-4275-8434-2436BE163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b8503-558e-4550-823a-26f008707f9a"/>
    <ds:schemaRef ds:uri="9f1d2543-a317-404b-b796-299c7d331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7DA7D-1EE2-432F-9874-C0D79D80B934}">
  <ds:schemaRefs>
    <ds:schemaRef ds:uri="http://purl.org/dc/dcmitype/"/>
    <ds:schemaRef ds:uri="http://schemas.microsoft.com/office/2006/documentManagement/types"/>
    <ds:schemaRef ds:uri="ca0b8503-558e-4550-823a-26f008707f9a"/>
    <ds:schemaRef ds:uri="http://purl.org/dc/terms/"/>
    <ds:schemaRef ds:uri="http://purl.org/dc/elements/1.1/"/>
    <ds:schemaRef ds:uri="http://schemas.microsoft.com/office/2006/metadata/properties"/>
    <ds:schemaRef ds:uri="9f1d2543-a317-404b-b796-299c7d331056"/>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C0FFFC6-C620-4F85-BCD9-64EED8288425}">
  <ds:schemaRefs>
    <ds:schemaRef ds:uri="http://schemas.microsoft.com/sharepoint/v3/contenttype/forms"/>
  </ds:schemaRefs>
</ds:datastoreItem>
</file>

<file path=customXml/itemProps4.xml><?xml version="1.0" encoding="utf-8"?>
<ds:datastoreItem xmlns:ds="http://schemas.openxmlformats.org/officeDocument/2006/customXml" ds:itemID="{B0639606-B5AB-49DA-B095-54E317F8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3761</Words>
  <Characters>20690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MH-AI-PRO01-FOR-016 Elaboración del Informe de Auditoría</Company>
  <LinksUpToDate>false</LinksUpToDate>
  <CharactersWithSpaces>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Walter Lobo Ramirez</dc:creator>
  <cp:lastModifiedBy>Natalia Mora Sanchez</cp:lastModifiedBy>
  <cp:revision>3</cp:revision>
  <cp:lastPrinted>2023-03-30T20:18:00Z</cp:lastPrinted>
  <dcterms:created xsi:type="dcterms:W3CDTF">2023-03-30T19:58:00Z</dcterms:created>
  <dcterms:modified xsi:type="dcterms:W3CDTF">2023-03-30T20:22:00Z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0x01010072EEA6307D80F14BAB3957142425D0C0</vt:lpwstr>
  </property>
</Properties>
</file>