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E37C9" w14:textId="77777777" w:rsidR="0055222A" w:rsidRPr="0043627B" w:rsidRDefault="00F01DEF" w:rsidP="00E03114">
      <w:pPr>
        <w:spacing w:after="0" w:line="240" w:lineRule="auto"/>
        <w:contextualSpacing/>
        <w:rPr>
          <w:rFonts w:ascii="Arial" w:hAnsi="Arial" w:cs="Arial"/>
          <w:b/>
          <w:noProof/>
          <w:sz w:val="24"/>
          <w:szCs w:val="24"/>
        </w:rPr>
      </w:pP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r>
      <w:sdt>
        <w:sdtPr>
          <w:rPr>
            <w:rFonts w:ascii="Arial" w:hAnsi="Arial" w:cs="Arial"/>
            <w:b/>
            <w:noProof/>
            <w:sz w:val="24"/>
            <w:szCs w:val="24"/>
          </w:rPr>
          <w:id w:val="700053000"/>
          <w:docPartObj>
            <w:docPartGallery w:val="Watermarks"/>
          </w:docPartObj>
        </w:sdtPr>
        <w:sdtEndPr>
          <w:rPr>
            <w:b w:val="0"/>
            <w:noProof w:val="0"/>
          </w:rPr>
        </w:sdtEndPr>
        <w:sdtContent>
          <w:r w:rsidR="00786B86" w:rsidRPr="00786B86">
            <w:rPr>
              <w:rFonts w:ascii="Arial" w:hAnsi="Arial" w:cs="Arial"/>
              <w:noProof/>
              <w:sz w:val="24"/>
              <w:szCs w:val="24"/>
            </w:rPr>
            <mc:AlternateContent>
              <mc:Choice Requires="wps">
                <w:drawing>
                  <wp:anchor distT="0" distB="0" distL="114300" distR="114300" simplePos="0" relativeHeight="251658243" behindDoc="1" locked="0" layoutInCell="0" allowOverlap="1" wp14:anchorId="3636F686" wp14:editId="759C4639">
                    <wp:simplePos x="0" y="0"/>
                    <wp:positionH relativeFrom="margin">
                      <wp:align>center</wp:align>
                    </wp:positionH>
                    <wp:positionV relativeFrom="margin">
                      <wp:align>center</wp:align>
                    </wp:positionV>
                    <wp:extent cx="5237480" cy="3142615"/>
                    <wp:effectExtent l="38100" t="1000125" r="0" b="7150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DE3FCB" w14:textId="77777777" w:rsidR="00F27C25" w:rsidRDefault="00F27C25" w:rsidP="00786B86">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36F686" id="_x0000_t202" coordsize="21600,21600" o:spt="202" path="m,l,21600r21600,l21600,xe">
                    <v:stroke joinstyle="miter"/>
                    <v:path gradientshapeok="t" o:connecttype="rect"/>
                  </v:shapetype>
                  <v:shape id="Cuadro de texto 1" o:spid="_x0000_s1026" type="#_x0000_t202" style="position:absolute;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" o:allowincell="f" filled="f" stroked="f">
                    <v:stroke joinstyle="round"/>
                    <o:lock v:ext="edit" shapetype="t"/>
                    <v:textbox style="mso-fit-shape-to-text:t">
                      <w:txbxContent>
                        <w:p w14:paraId="4ADE3FCB" w14:textId="77777777" w:rsidR="00F27C25" w:rsidRDefault="00F27C25" w:rsidP="00786B86">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BORRADOR</w:t>
                          </w:r>
                        </w:p>
                      </w:txbxContent>
                    </v:textbox>
                    <w10:wrap anchorx="margin" anchory="margin"/>
                  </v:shape>
                </w:pict>
              </mc:Fallback>
            </mc:AlternateContent>
          </w:r>
        </w:sdtContent>
      </w:sdt>
      <w:sdt>
        <w:sdtPr>
          <w:rPr>
            <w:rFonts w:ascii="Arial" w:hAnsi="Arial" w:cs="Arial"/>
            <w:sz w:val="24"/>
            <w:szCs w:val="24"/>
          </w:rPr>
          <w:id w:val="481740124"/>
          <w:docPartObj>
            <w:docPartGallery w:val="Cover Pages"/>
            <w:docPartUnique/>
          </w:docPartObj>
        </w:sdtPr>
        <w:sdtEndPr/>
        <w:sdtContent>
          <w:bookmarkStart w:id="1" w:name="_Toc511035212"/>
          <w:bookmarkStart w:id="2" w:name="_Toc402340235"/>
          <w:bookmarkStart w:id="3" w:name="_Toc402340236"/>
          <w:bookmarkEnd w:id="2"/>
          <w:bookmarkEnd w:id="3"/>
          <w:r w:rsidR="00572288"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58241" behindDoc="0" locked="0" layoutInCell="1" allowOverlap="1" wp14:anchorId="073EE6DB" wp14:editId="132B13A3">
                    <wp:simplePos x="0" y="0"/>
                    <wp:positionH relativeFrom="column">
                      <wp:posOffset>116205</wp:posOffset>
                    </wp:positionH>
                    <wp:positionV relativeFrom="paragraph">
                      <wp:posOffset>2885440</wp:posOffset>
                    </wp:positionV>
                    <wp:extent cx="6324600" cy="3954780"/>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6324600" cy="3954780"/>
                            </a:xfrm>
                            <a:prstGeom prst="rect">
                              <a:avLst/>
                            </a:prstGeom>
                            <a:noFill/>
                            <a:ln w="6350">
                              <a:noFill/>
                            </a:ln>
                          </wps:spPr>
                          <wps:txbx>
                            <w:txbxContent>
                              <w:p w14:paraId="07F5FF6E" w14:textId="2E183EB1" w:rsidR="00922C18" w:rsidRDefault="00F27C25" w:rsidP="003E6E27">
                                <w:pPr>
                                  <w:jc w:val="right"/>
                                  <w:rPr>
                                    <w:rFonts w:ascii="Arial" w:hAnsi="Arial" w:cs="Arial"/>
                                    <w:color w:val="FFFFFF" w:themeColor="background1"/>
                                    <w:sz w:val="80"/>
                                    <w:szCs w:val="80"/>
                                  </w:rPr>
                                </w:pPr>
                                <w:r w:rsidRPr="00CA6FA5">
                                  <w:rPr>
                                    <w:rFonts w:ascii="Arial" w:hAnsi="Arial" w:cs="Arial"/>
                                    <w:color w:val="FFFFFF" w:themeColor="background1"/>
                                    <w:sz w:val="80"/>
                                    <w:szCs w:val="80"/>
                                  </w:rPr>
                                  <w:t xml:space="preserve">N.º: </w:t>
                                </w:r>
                                <w:r w:rsidR="00922C18" w:rsidRPr="00922C18">
                                  <w:rPr>
                                    <w:rFonts w:ascii="Arial" w:hAnsi="Arial" w:cs="Arial"/>
                                    <w:color w:val="FFFFFF" w:themeColor="background1"/>
                                    <w:sz w:val="80"/>
                                    <w:szCs w:val="80"/>
                                  </w:rPr>
                                  <w:t>AI-INF-</w:t>
                                </w:r>
                                <w:r w:rsidR="00EE06B8">
                                  <w:rPr>
                                    <w:rFonts w:ascii="Arial" w:hAnsi="Arial" w:cs="Arial"/>
                                    <w:color w:val="FFFFFF" w:themeColor="background1"/>
                                    <w:sz w:val="80"/>
                                    <w:szCs w:val="80"/>
                                  </w:rPr>
                                  <w:t>CI-</w:t>
                                </w:r>
                                <w:r w:rsidR="00922C18" w:rsidRPr="00922C18">
                                  <w:rPr>
                                    <w:rFonts w:ascii="Arial" w:hAnsi="Arial" w:cs="Arial"/>
                                    <w:color w:val="FFFFFF" w:themeColor="background1"/>
                                    <w:sz w:val="80"/>
                                    <w:szCs w:val="80"/>
                                  </w:rPr>
                                  <w:t>030-2022</w:t>
                                </w:r>
                              </w:p>
                              <w:p w14:paraId="43EDD63C" w14:textId="6BF3EDC8" w:rsidR="00F27C25" w:rsidRPr="003C7BE7" w:rsidRDefault="00F27C25" w:rsidP="003E6E27">
                                <w:pPr>
                                  <w:jc w:val="right"/>
                                  <w:rPr>
                                    <w:rFonts w:ascii="Arial" w:hAnsi="Arial" w:cs="Arial"/>
                                    <w:color w:val="FFFFFF" w:themeColor="background1"/>
                                    <w:sz w:val="72"/>
                                    <w:szCs w:val="72"/>
                                  </w:rPr>
                                </w:pPr>
                                <w:r>
                                  <w:rPr>
                                    <w:rFonts w:ascii="Arial" w:hAnsi="Arial" w:cs="Arial"/>
                                    <w:color w:val="FFFFFF" w:themeColor="background1"/>
                                    <w:sz w:val="52"/>
                                    <w:szCs w:val="52"/>
                                  </w:rPr>
                                  <w:t xml:space="preserve">Informe Parcial sobre la </w:t>
                                </w:r>
                                <w:r w:rsidRPr="00862E56">
                                  <w:rPr>
                                    <w:rFonts w:ascii="Arial" w:hAnsi="Arial" w:cs="Arial"/>
                                    <w:color w:val="FFFFFF" w:themeColor="background1"/>
                                    <w:sz w:val="52"/>
                                    <w:szCs w:val="52"/>
                                  </w:rPr>
                                  <w:t>Evaluación del Sistema de Valoración de Riesgos para la toma de decisiones gerenciales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EE6DB" id="_x0000_t202" coordsize="21600,21600" o:spt="202" path="m,l,21600r21600,l21600,xe">
                    <v:stroke joinstyle="miter"/>
                    <v:path gradientshapeok="t" o:connecttype="rect"/>
                  </v:shapetype>
                  <v:shape id="Cuadro de texto 4" o:spid="_x0000_s1027" type="#_x0000_t202" style="position:absolute;margin-left:9.15pt;margin-top:227.2pt;width:498pt;height:31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" filled="f" stroked="f" strokeweight=".5pt">
                    <v:textbox>
                      <w:txbxContent>
                        <w:p w14:paraId="07F5FF6E" w14:textId="2E183EB1" w:rsidR="00922C18" w:rsidRDefault="00F27C25" w:rsidP="003E6E27">
                          <w:pPr>
                            <w:jc w:val="right"/>
                            <w:rPr>
                              <w:rFonts w:ascii="Arial" w:hAnsi="Arial" w:cs="Arial"/>
                              <w:color w:val="FFFFFF" w:themeColor="background1"/>
                              <w:sz w:val="80"/>
                              <w:szCs w:val="80"/>
                            </w:rPr>
                          </w:pPr>
                          <w:r w:rsidRPr="00CA6FA5">
                            <w:rPr>
                              <w:rFonts w:ascii="Arial" w:hAnsi="Arial" w:cs="Arial"/>
                              <w:color w:val="FFFFFF" w:themeColor="background1"/>
                              <w:sz w:val="80"/>
                              <w:szCs w:val="80"/>
                            </w:rPr>
                            <w:t xml:space="preserve">N.º: </w:t>
                          </w:r>
                          <w:r w:rsidR="00922C18" w:rsidRPr="00922C18">
                            <w:rPr>
                              <w:rFonts w:ascii="Arial" w:hAnsi="Arial" w:cs="Arial"/>
                              <w:color w:val="FFFFFF" w:themeColor="background1"/>
                              <w:sz w:val="80"/>
                              <w:szCs w:val="80"/>
                            </w:rPr>
                            <w:t>AI-INF-</w:t>
                          </w:r>
                          <w:r w:rsidR="00EE06B8">
                            <w:rPr>
                              <w:rFonts w:ascii="Arial" w:hAnsi="Arial" w:cs="Arial"/>
                              <w:color w:val="FFFFFF" w:themeColor="background1"/>
                              <w:sz w:val="80"/>
                              <w:szCs w:val="80"/>
                            </w:rPr>
                            <w:t>CI-</w:t>
                          </w:r>
                          <w:r w:rsidR="00922C18" w:rsidRPr="00922C18">
                            <w:rPr>
                              <w:rFonts w:ascii="Arial" w:hAnsi="Arial" w:cs="Arial"/>
                              <w:color w:val="FFFFFF" w:themeColor="background1"/>
                              <w:sz w:val="80"/>
                              <w:szCs w:val="80"/>
                            </w:rPr>
                            <w:t>030-2022</w:t>
                          </w:r>
                        </w:p>
                        <w:p w14:paraId="43EDD63C" w14:textId="6BF3EDC8" w:rsidR="00F27C25" w:rsidRPr="003C7BE7" w:rsidRDefault="00F27C25" w:rsidP="003E6E27">
                          <w:pPr>
                            <w:jc w:val="right"/>
                            <w:rPr>
                              <w:rFonts w:ascii="Arial" w:hAnsi="Arial" w:cs="Arial"/>
                              <w:color w:val="FFFFFF" w:themeColor="background1"/>
                              <w:sz w:val="72"/>
                              <w:szCs w:val="72"/>
                            </w:rPr>
                          </w:pPr>
                          <w:r>
                            <w:rPr>
                              <w:rFonts w:ascii="Arial" w:hAnsi="Arial" w:cs="Arial"/>
                              <w:color w:val="FFFFFF" w:themeColor="background1"/>
                              <w:sz w:val="52"/>
                              <w:szCs w:val="52"/>
                            </w:rPr>
                            <w:t xml:space="preserve">Informe Parcial sobre la </w:t>
                          </w:r>
                          <w:r w:rsidRPr="00862E56">
                            <w:rPr>
                              <w:rFonts w:ascii="Arial" w:hAnsi="Arial" w:cs="Arial"/>
                              <w:color w:val="FFFFFF" w:themeColor="background1"/>
                              <w:sz w:val="52"/>
                              <w:szCs w:val="52"/>
                            </w:rPr>
                            <w:t>Evaluación del Sistema de Valoración de Riesgos para la toma de decisiones gerenciales</w:t>
                          </w:r>
                        </w:p>
                      </w:txbxContent>
                    </v:textbox>
                  </v:shape>
                </w:pict>
              </mc:Fallback>
            </mc:AlternateContent>
          </w:r>
          <w:r w:rsidR="00677896" w:rsidRPr="0043627B">
            <w:rPr>
              <w:rFonts w:ascii="Arial" w:hAnsi="Arial" w:cs="Arial"/>
              <w:noProof/>
              <w:sz w:val="24"/>
              <w:szCs w:val="24"/>
              <w:lang w:eastAsia="es-CR"/>
            </w:rPr>
            <mc:AlternateContent>
              <mc:Choice Requires="wps">
                <w:drawing>
                  <wp:anchor distT="0" distB="0" distL="114300" distR="114300" simplePos="0" relativeHeight="251658242" behindDoc="0" locked="0" layoutInCell="1" allowOverlap="1" wp14:anchorId="769D10E7" wp14:editId="029E7312">
                    <wp:simplePos x="0" y="0"/>
                    <wp:positionH relativeFrom="margin">
                      <wp:posOffset>-607695</wp:posOffset>
                    </wp:positionH>
                    <wp:positionV relativeFrom="paragraph">
                      <wp:posOffset>7031990</wp:posOffset>
                    </wp:positionV>
                    <wp:extent cx="6629400" cy="67056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670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0A3349" w14:textId="77777777" w:rsidR="00F27C25" w:rsidRDefault="00F27C25"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335E5542" w14:textId="77777777" w:rsidR="00F27C25" w:rsidRPr="00AD7C6B" w:rsidRDefault="00F27C25"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10E7" id="Text Box 5" o:spid="_x0000_s1028" type="#_x0000_t202" style="position:absolute;margin-left:-47.85pt;margin-top:553.7pt;width:522pt;height:52.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vrg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" filled="f" stroked="f">
                    <v:textbox>
                      <w:txbxContent>
                        <w:p w14:paraId="450A3349" w14:textId="77777777" w:rsidR="00F27C25" w:rsidRDefault="00F27C25"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335E5542" w14:textId="77777777" w:rsidR="00F27C25" w:rsidRPr="00AD7C6B" w:rsidRDefault="00F27C25"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r w:rsidR="00AD7C6B" w:rsidRPr="0043627B">
            <w:rPr>
              <w:rFonts w:ascii="Arial" w:hAnsi="Arial" w:cs="Arial"/>
              <w:b/>
              <w:noProof/>
              <w:sz w:val="24"/>
              <w:szCs w:val="24"/>
            </w:rPr>
            <w:drawing>
              <wp:anchor distT="0" distB="0" distL="114300" distR="114300" simplePos="0" relativeHeight="251658240" behindDoc="1" locked="0" layoutInCell="1" allowOverlap="1" wp14:anchorId="13B1247A" wp14:editId="0DD112E0">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sdtContent>
      </w:sdt>
      <w:bookmarkEnd w:id="1"/>
    </w:p>
    <w:p w14:paraId="3D8F0432" w14:textId="77777777" w:rsidR="0055222A" w:rsidRPr="0043627B" w:rsidRDefault="0055222A" w:rsidP="00E03114">
      <w:pPr>
        <w:spacing w:after="0" w:line="240" w:lineRule="auto"/>
        <w:contextualSpacing/>
      </w:pPr>
      <w:r w:rsidRPr="0043627B">
        <w:lastRenderedPageBreak/>
        <w:t xml:space="preserve"> </w:t>
      </w:r>
    </w:p>
    <w:sdt>
      <w:sdtPr>
        <w:rPr>
          <w:rFonts w:ascii="Arial" w:hAnsi="Arial" w:cs="Arial"/>
          <w:b/>
          <w:sz w:val="24"/>
          <w:szCs w:val="24"/>
        </w:rPr>
        <w:id w:val="-1166481374"/>
        <w:docPartObj>
          <w:docPartGallery w:val="Table of Contents"/>
          <w:docPartUnique/>
        </w:docPartObj>
      </w:sdtPr>
      <w:sdtEndPr>
        <w:rPr>
          <w:sz w:val="22"/>
          <w:szCs w:val="22"/>
        </w:rPr>
      </w:sdtEndPr>
      <w:sdtContent>
        <w:p w14:paraId="32A0B467" w14:textId="77777777" w:rsidR="0055222A" w:rsidRDefault="0055222A" w:rsidP="00E03114">
          <w:pPr>
            <w:keepNext/>
            <w:keepLines/>
            <w:spacing w:after="0" w:line="240" w:lineRule="auto"/>
            <w:contextualSpacing/>
            <w:rPr>
              <w:rFonts w:ascii="Arial" w:eastAsiaTheme="majorEastAsia" w:hAnsi="Arial" w:cs="Arial"/>
              <w:b/>
              <w:bCs/>
              <w:color w:val="44546A" w:themeColor="text2"/>
              <w:lang w:eastAsia="es-CR"/>
            </w:rPr>
          </w:pPr>
          <w:r w:rsidRPr="004644EB">
            <w:rPr>
              <w:rFonts w:ascii="Arial" w:eastAsiaTheme="majorEastAsia" w:hAnsi="Arial" w:cs="Arial"/>
              <w:b/>
              <w:bCs/>
              <w:color w:val="44546A" w:themeColor="text2"/>
              <w:lang w:eastAsia="es-CR"/>
            </w:rPr>
            <w:t>CONTENIDO</w:t>
          </w:r>
        </w:p>
        <w:p w14:paraId="5A359CC6" w14:textId="77777777" w:rsidR="004644EB" w:rsidRDefault="004644EB" w:rsidP="00E03114">
          <w:pPr>
            <w:keepNext/>
            <w:keepLines/>
            <w:spacing w:after="0" w:line="240" w:lineRule="auto"/>
            <w:contextualSpacing/>
            <w:rPr>
              <w:rFonts w:ascii="Arial" w:eastAsiaTheme="majorEastAsia" w:hAnsi="Arial" w:cs="Arial"/>
              <w:b/>
              <w:bCs/>
              <w:color w:val="44546A" w:themeColor="text2"/>
              <w:lang w:eastAsia="es-CR"/>
            </w:rPr>
          </w:pPr>
        </w:p>
        <w:p w14:paraId="55CC2B19" w14:textId="77777777" w:rsidR="004644EB" w:rsidRPr="00441749" w:rsidRDefault="004644EB" w:rsidP="00E03114">
          <w:pPr>
            <w:keepNext/>
            <w:keepLines/>
            <w:spacing w:after="0" w:line="240" w:lineRule="auto"/>
            <w:contextualSpacing/>
            <w:rPr>
              <w:rFonts w:ascii="Arial" w:eastAsiaTheme="majorEastAsia" w:hAnsi="Arial" w:cs="Arial"/>
              <w:b/>
              <w:bCs/>
              <w:color w:val="44546A" w:themeColor="text2"/>
              <w:lang w:eastAsia="es-CR"/>
            </w:rPr>
          </w:pPr>
        </w:p>
        <w:p w14:paraId="34AEF49E" w14:textId="4D35E2D8" w:rsidR="00922C18" w:rsidRDefault="0055222A">
          <w:pPr>
            <w:pStyle w:val="TDC1"/>
            <w:rPr>
              <w:rFonts w:eastAsiaTheme="minorEastAsia"/>
              <w:noProof/>
              <w:lang w:eastAsia="es-CR"/>
            </w:rPr>
          </w:pPr>
          <w:r w:rsidRPr="00441749">
            <w:rPr>
              <w:rFonts w:ascii="Arial" w:hAnsi="Arial" w:cs="Arial"/>
              <w:b/>
              <w:lang w:val="es-ES_tradnl"/>
            </w:rPr>
            <w:fldChar w:fldCharType="begin"/>
          </w:r>
          <w:r w:rsidRPr="00441749">
            <w:rPr>
              <w:rFonts w:ascii="Arial" w:hAnsi="Arial" w:cs="Arial"/>
              <w:b/>
            </w:rPr>
            <w:instrText xml:space="preserve"> TOC \o "1-3" \h \z \u </w:instrText>
          </w:r>
          <w:r w:rsidRPr="00441749">
            <w:rPr>
              <w:rFonts w:ascii="Arial" w:hAnsi="Arial" w:cs="Arial"/>
              <w:b/>
              <w:lang w:val="es-ES_tradnl"/>
            </w:rPr>
            <w:fldChar w:fldCharType="separate"/>
          </w:r>
          <w:hyperlink w:anchor="_Toc125702625" w:history="1">
            <w:r w:rsidR="00922C18" w:rsidRPr="00385274">
              <w:rPr>
                <w:rStyle w:val="Hipervnculo"/>
                <w:rFonts w:ascii="Arial" w:hAnsi="Arial" w:cs="Arial"/>
                <w:b/>
                <w:bCs/>
                <w:noProof/>
                <w:kern w:val="28"/>
                <w:lang w:eastAsia="es-ES"/>
              </w:rPr>
              <w:t>1.</w:t>
            </w:r>
            <w:r w:rsidR="00922C18">
              <w:rPr>
                <w:rFonts w:eastAsiaTheme="minorEastAsia"/>
                <w:noProof/>
                <w:lang w:eastAsia="es-CR"/>
              </w:rPr>
              <w:tab/>
            </w:r>
            <w:r w:rsidR="00922C18" w:rsidRPr="00385274">
              <w:rPr>
                <w:rStyle w:val="Hipervnculo"/>
                <w:rFonts w:ascii="Arial" w:hAnsi="Arial" w:cs="Arial"/>
                <w:b/>
                <w:bCs/>
                <w:noProof/>
                <w:kern w:val="28"/>
                <w:lang w:eastAsia="es-ES"/>
              </w:rPr>
              <w:t>INTRODUCCIÓN</w:t>
            </w:r>
            <w:r w:rsidR="00922C18">
              <w:rPr>
                <w:noProof/>
                <w:webHidden/>
              </w:rPr>
              <w:tab/>
            </w:r>
            <w:r w:rsidR="00922C18">
              <w:rPr>
                <w:noProof/>
                <w:webHidden/>
              </w:rPr>
              <w:fldChar w:fldCharType="begin"/>
            </w:r>
            <w:r w:rsidR="00922C18">
              <w:rPr>
                <w:noProof/>
                <w:webHidden/>
              </w:rPr>
              <w:instrText xml:space="preserve"> PAGEREF _Toc125702625 \h </w:instrText>
            </w:r>
            <w:r w:rsidR="00922C18">
              <w:rPr>
                <w:noProof/>
                <w:webHidden/>
              </w:rPr>
            </w:r>
            <w:r w:rsidR="00922C18">
              <w:rPr>
                <w:noProof/>
                <w:webHidden/>
              </w:rPr>
              <w:fldChar w:fldCharType="separate"/>
            </w:r>
            <w:r w:rsidR="0072452A">
              <w:rPr>
                <w:noProof/>
                <w:webHidden/>
              </w:rPr>
              <w:t>5</w:t>
            </w:r>
            <w:r w:rsidR="00922C18">
              <w:rPr>
                <w:noProof/>
                <w:webHidden/>
              </w:rPr>
              <w:fldChar w:fldCharType="end"/>
            </w:r>
          </w:hyperlink>
        </w:p>
        <w:p w14:paraId="36EB2A7D" w14:textId="41BFD4E8" w:rsidR="00922C18" w:rsidRDefault="0072452A">
          <w:pPr>
            <w:pStyle w:val="TDC1"/>
            <w:rPr>
              <w:rFonts w:eastAsiaTheme="minorEastAsia"/>
              <w:noProof/>
              <w:lang w:eastAsia="es-CR"/>
            </w:rPr>
          </w:pPr>
          <w:hyperlink w:anchor="_Toc125702626" w:history="1">
            <w:r w:rsidR="00922C18" w:rsidRPr="00385274">
              <w:rPr>
                <w:rStyle w:val="Hipervnculo"/>
                <w:rFonts w:ascii="Arial" w:hAnsi="Arial" w:cs="Arial"/>
                <w:b/>
                <w:noProof/>
              </w:rPr>
              <w:t>1.1</w:t>
            </w:r>
            <w:r w:rsidR="00922C18">
              <w:rPr>
                <w:rFonts w:eastAsiaTheme="minorEastAsia"/>
                <w:noProof/>
                <w:lang w:eastAsia="es-CR"/>
              </w:rPr>
              <w:tab/>
            </w:r>
            <w:r w:rsidR="00922C18" w:rsidRPr="00385274">
              <w:rPr>
                <w:rStyle w:val="Hipervnculo"/>
                <w:rFonts w:ascii="Arial" w:hAnsi="Arial" w:cs="Arial"/>
                <w:b/>
                <w:noProof/>
              </w:rPr>
              <w:t>Origen</w:t>
            </w:r>
            <w:r w:rsidR="00922C18">
              <w:rPr>
                <w:noProof/>
                <w:webHidden/>
              </w:rPr>
              <w:tab/>
            </w:r>
            <w:r w:rsidR="00922C18">
              <w:rPr>
                <w:noProof/>
                <w:webHidden/>
              </w:rPr>
              <w:fldChar w:fldCharType="begin"/>
            </w:r>
            <w:r w:rsidR="00922C18">
              <w:rPr>
                <w:noProof/>
                <w:webHidden/>
              </w:rPr>
              <w:instrText xml:space="preserve"> PAGEREF _Toc125702626 \h </w:instrText>
            </w:r>
            <w:r w:rsidR="00922C18">
              <w:rPr>
                <w:noProof/>
                <w:webHidden/>
              </w:rPr>
            </w:r>
            <w:r w:rsidR="00922C18">
              <w:rPr>
                <w:noProof/>
                <w:webHidden/>
              </w:rPr>
              <w:fldChar w:fldCharType="separate"/>
            </w:r>
            <w:r>
              <w:rPr>
                <w:noProof/>
                <w:webHidden/>
              </w:rPr>
              <w:t>5</w:t>
            </w:r>
            <w:r w:rsidR="00922C18">
              <w:rPr>
                <w:noProof/>
                <w:webHidden/>
              </w:rPr>
              <w:fldChar w:fldCharType="end"/>
            </w:r>
          </w:hyperlink>
        </w:p>
        <w:p w14:paraId="76C9D61F" w14:textId="783B2DB3" w:rsidR="00922C18" w:rsidRDefault="0072452A">
          <w:pPr>
            <w:pStyle w:val="TDC1"/>
            <w:rPr>
              <w:rFonts w:eastAsiaTheme="minorEastAsia"/>
              <w:noProof/>
              <w:lang w:eastAsia="es-CR"/>
            </w:rPr>
          </w:pPr>
          <w:hyperlink w:anchor="_Toc125702627" w:history="1">
            <w:r w:rsidR="00922C18" w:rsidRPr="00385274">
              <w:rPr>
                <w:rStyle w:val="Hipervnculo"/>
                <w:rFonts w:ascii="Arial" w:hAnsi="Arial" w:cs="Arial"/>
                <w:b/>
                <w:noProof/>
              </w:rPr>
              <w:t>1.2</w:t>
            </w:r>
            <w:r w:rsidR="00922C18">
              <w:rPr>
                <w:rFonts w:eastAsiaTheme="minorEastAsia"/>
                <w:noProof/>
                <w:lang w:eastAsia="es-CR"/>
              </w:rPr>
              <w:tab/>
            </w:r>
            <w:r w:rsidR="00922C18" w:rsidRPr="00385274">
              <w:rPr>
                <w:rStyle w:val="Hipervnculo"/>
                <w:rFonts w:ascii="Arial" w:hAnsi="Arial" w:cs="Arial"/>
                <w:b/>
                <w:noProof/>
              </w:rPr>
              <w:t>Objetivo específico del estudio</w:t>
            </w:r>
            <w:r w:rsidR="00922C18">
              <w:rPr>
                <w:noProof/>
                <w:webHidden/>
              </w:rPr>
              <w:tab/>
            </w:r>
            <w:r w:rsidR="00922C18">
              <w:rPr>
                <w:noProof/>
                <w:webHidden/>
              </w:rPr>
              <w:fldChar w:fldCharType="begin"/>
            </w:r>
            <w:r w:rsidR="00922C18">
              <w:rPr>
                <w:noProof/>
                <w:webHidden/>
              </w:rPr>
              <w:instrText xml:space="preserve"> PAGEREF _Toc125702627 \h </w:instrText>
            </w:r>
            <w:r w:rsidR="00922C18">
              <w:rPr>
                <w:noProof/>
                <w:webHidden/>
              </w:rPr>
            </w:r>
            <w:r w:rsidR="00922C18">
              <w:rPr>
                <w:noProof/>
                <w:webHidden/>
              </w:rPr>
              <w:fldChar w:fldCharType="separate"/>
            </w:r>
            <w:r>
              <w:rPr>
                <w:noProof/>
                <w:webHidden/>
              </w:rPr>
              <w:t>5</w:t>
            </w:r>
            <w:r w:rsidR="00922C18">
              <w:rPr>
                <w:noProof/>
                <w:webHidden/>
              </w:rPr>
              <w:fldChar w:fldCharType="end"/>
            </w:r>
          </w:hyperlink>
        </w:p>
        <w:p w14:paraId="382865DD" w14:textId="078F5339" w:rsidR="00922C18" w:rsidRDefault="0072452A">
          <w:pPr>
            <w:pStyle w:val="TDC1"/>
            <w:rPr>
              <w:rFonts w:eastAsiaTheme="minorEastAsia"/>
              <w:noProof/>
              <w:lang w:eastAsia="es-CR"/>
            </w:rPr>
          </w:pPr>
          <w:hyperlink w:anchor="_Toc125702628" w:history="1">
            <w:r w:rsidR="00922C18" w:rsidRPr="00385274">
              <w:rPr>
                <w:rStyle w:val="Hipervnculo"/>
                <w:rFonts w:ascii="Arial" w:hAnsi="Arial" w:cs="Arial"/>
                <w:b/>
                <w:noProof/>
              </w:rPr>
              <w:t>1.3</w:t>
            </w:r>
            <w:r w:rsidR="00922C18">
              <w:rPr>
                <w:rFonts w:eastAsiaTheme="minorEastAsia"/>
                <w:noProof/>
                <w:lang w:eastAsia="es-CR"/>
              </w:rPr>
              <w:tab/>
            </w:r>
            <w:r w:rsidR="00922C18" w:rsidRPr="00385274">
              <w:rPr>
                <w:rStyle w:val="Hipervnculo"/>
                <w:rFonts w:ascii="Arial" w:hAnsi="Arial" w:cs="Arial"/>
                <w:b/>
                <w:noProof/>
              </w:rPr>
              <w:t>Alcance</w:t>
            </w:r>
            <w:r w:rsidR="00922C18">
              <w:rPr>
                <w:noProof/>
                <w:webHidden/>
              </w:rPr>
              <w:tab/>
            </w:r>
            <w:r w:rsidR="00922C18">
              <w:rPr>
                <w:noProof/>
                <w:webHidden/>
              </w:rPr>
              <w:fldChar w:fldCharType="begin"/>
            </w:r>
            <w:r w:rsidR="00922C18">
              <w:rPr>
                <w:noProof/>
                <w:webHidden/>
              </w:rPr>
              <w:instrText xml:space="preserve"> PAGEREF _Toc125702628 \h </w:instrText>
            </w:r>
            <w:r w:rsidR="00922C18">
              <w:rPr>
                <w:noProof/>
                <w:webHidden/>
              </w:rPr>
            </w:r>
            <w:r w:rsidR="00922C18">
              <w:rPr>
                <w:noProof/>
                <w:webHidden/>
              </w:rPr>
              <w:fldChar w:fldCharType="separate"/>
            </w:r>
            <w:r>
              <w:rPr>
                <w:noProof/>
                <w:webHidden/>
              </w:rPr>
              <w:t>5</w:t>
            </w:r>
            <w:r w:rsidR="00922C18">
              <w:rPr>
                <w:noProof/>
                <w:webHidden/>
              </w:rPr>
              <w:fldChar w:fldCharType="end"/>
            </w:r>
          </w:hyperlink>
        </w:p>
        <w:p w14:paraId="00D899D8" w14:textId="482D1275" w:rsidR="00922C18" w:rsidRDefault="0072452A">
          <w:pPr>
            <w:pStyle w:val="TDC1"/>
            <w:rPr>
              <w:rFonts w:eastAsiaTheme="minorEastAsia"/>
              <w:noProof/>
              <w:lang w:eastAsia="es-CR"/>
            </w:rPr>
          </w:pPr>
          <w:hyperlink w:anchor="_Toc125702629" w:history="1">
            <w:r w:rsidR="00922C18" w:rsidRPr="00385274">
              <w:rPr>
                <w:rStyle w:val="Hipervnculo"/>
                <w:rFonts w:ascii="Arial" w:hAnsi="Arial" w:cs="Arial"/>
                <w:b/>
                <w:noProof/>
              </w:rPr>
              <w:t>1.4</w:t>
            </w:r>
            <w:r w:rsidR="00922C18">
              <w:rPr>
                <w:rFonts w:eastAsiaTheme="minorEastAsia"/>
                <w:noProof/>
                <w:lang w:eastAsia="es-CR"/>
              </w:rPr>
              <w:tab/>
            </w:r>
            <w:r w:rsidR="00922C18" w:rsidRPr="00385274">
              <w:rPr>
                <w:rStyle w:val="Hipervnculo"/>
                <w:rFonts w:ascii="Arial" w:hAnsi="Arial" w:cs="Arial"/>
                <w:b/>
                <w:noProof/>
              </w:rPr>
              <w:t>Criterios de evaluación</w:t>
            </w:r>
            <w:r w:rsidR="00922C18">
              <w:rPr>
                <w:noProof/>
                <w:webHidden/>
              </w:rPr>
              <w:tab/>
            </w:r>
            <w:r w:rsidR="00922C18">
              <w:rPr>
                <w:noProof/>
                <w:webHidden/>
              </w:rPr>
              <w:fldChar w:fldCharType="begin"/>
            </w:r>
            <w:r w:rsidR="00922C18">
              <w:rPr>
                <w:noProof/>
                <w:webHidden/>
              </w:rPr>
              <w:instrText xml:space="preserve"> PAGEREF _Toc125702629 \h </w:instrText>
            </w:r>
            <w:r w:rsidR="00922C18">
              <w:rPr>
                <w:noProof/>
                <w:webHidden/>
              </w:rPr>
            </w:r>
            <w:r w:rsidR="00922C18">
              <w:rPr>
                <w:noProof/>
                <w:webHidden/>
              </w:rPr>
              <w:fldChar w:fldCharType="separate"/>
            </w:r>
            <w:r>
              <w:rPr>
                <w:noProof/>
                <w:webHidden/>
              </w:rPr>
              <w:t>5</w:t>
            </w:r>
            <w:r w:rsidR="00922C18">
              <w:rPr>
                <w:noProof/>
                <w:webHidden/>
              </w:rPr>
              <w:fldChar w:fldCharType="end"/>
            </w:r>
          </w:hyperlink>
        </w:p>
        <w:p w14:paraId="10929CAF" w14:textId="5937084D" w:rsidR="00922C18" w:rsidRDefault="0072452A">
          <w:pPr>
            <w:pStyle w:val="TDC1"/>
            <w:rPr>
              <w:rFonts w:eastAsiaTheme="minorEastAsia"/>
              <w:noProof/>
              <w:lang w:eastAsia="es-CR"/>
            </w:rPr>
          </w:pPr>
          <w:hyperlink w:anchor="_Toc125702630" w:history="1">
            <w:r w:rsidR="00922C18" w:rsidRPr="00385274">
              <w:rPr>
                <w:rStyle w:val="Hipervnculo"/>
                <w:rFonts w:ascii="Arial" w:hAnsi="Arial" w:cs="Arial"/>
                <w:b/>
                <w:noProof/>
              </w:rPr>
              <w:t>1.5</w:t>
            </w:r>
            <w:r w:rsidR="00922C18">
              <w:rPr>
                <w:rFonts w:eastAsiaTheme="minorEastAsia"/>
                <w:noProof/>
                <w:lang w:eastAsia="es-CR"/>
              </w:rPr>
              <w:tab/>
            </w:r>
            <w:r w:rsidR="00922C18" w:rsidRPr="00385274">
              <w:rPr>
                <w:rStyle w:val="Hipervnculo"/>
                <w:rFonts w:ascii="Arial" w:hAnsi="Arial" w:cs="Arial"/>
                <w:b/>
                <w:noProof/>
              </w:rPr>
              <w:t>Metodología aplicada</w:t>
            </w:r>
            <w:r w:rsidR="00922C18">
              <w:rPr>
                <w:noProof/>
                <w:webHidden/>
              </w:rPr>
              <w:tab/>
            </w:r>
            <w:r w:rsidR="00922C18">
              <w:rPr>
                <w:noProof/>
                <w:webHidden/>
              </w:rPr>
              <w:fldChar w:fldCharType="begin"/>
            </w:r>
            <w:r w:rsidR="00922C18">
              <w:rPr>
                <w:noProof/>
                <w:webHidden/>
              </w:rPr>
              <w:instrText xml:space="preserve"> PAGEREF _Toc125702630 \h </w:instrText>
            </w:r>
            <w:r w:rsidR="00922C18">
              <w:rPr>
                <w:noProof/>
                <w:webHidden/>
              </w:rPr>
            </w:r>
            <w:r w:rsidR="00922C18">
              <w:rPr>
                <w:noProof/>
                <w:webHidden/>
              </w:rPr>
              <w:fldChar w:fldCharType="separate"/>
            </w:r>
            <w:r>
              <w:rPr>
                <w:noProof/>
                <w:webHidden/>
              </w:rPr>
              <w:t>5</w:t>
            </w:r>
            <w:r w:rsidR="00922C18">
              <w:rPr>
                <w:noProof/>
                <w:webHidden/>
              </w:rPr>
              <w:fldChar w:fldCharType="end"/>
            </w:r>
          </w:hyperlink>
        </w:p>
        <w:p w14:paraId="6391954E" w14:textId="385B4AC7" w:rsidR="00922C18" w:rsidRDefault="0072452A">
          <w:pPr>
            <w:pStyle w:val="TDC1"/>
            <w:rPr>
              <w:rFonts w:eastAsiaTheme="minorEastAsia"/>
              <w:noProof/>
              <w:lang w:eastAsia="es-CR"/>
            </w:rPr>
          </w:pPr>
          <w:hyperlink w:anchor="_Toc125702631" w:history="1">
            <w:r w:rsidR="00922C18" w:rsidRPr="00385274">
              <w:rPr>
                <w:rStyle w:val="Hipervnculo"/>
                <w:rFonts w:ascii="Arial" w:hAnsi="Arial" w:cs="Arial"/>
                <w:b/>
                <w:noProof/>
              </w:rPr>
              <w:t>1.6</w:t>
            </w:r>
            <w:r w:rsidR="00922C18">
              <w:rPr>
                <w:rFonts w:eastAsiaTheme="minorEastAsia"/>
                <w:noProof/>
                <w:lang w:eastAsia="es-CR"/>
              </w:rPr>
              <w:tab/>
            </w:r>
            <w:r w:rsidR="00922C18" w:rsidRPr="00385274">
              <w:rPr>
                <w:rStyle w:val="Hipervnculo"/>
                <w:rFonts w:ascii="Arial" w:hAnsi="Arial" w:cs="Arial"/>
                <w:b/>
                <w:noProof/>
              </w:rPr>
              <w:t>Comunicación de resultados</w:t>
            </w:r>
            <w:r w:rsidR="00922C18">
              <w:rPr>
                <w:noProof/>
                <w:webHidden/>
              </w:rPr>
              <w:tab/>
            </w:r>
            <w:r w:rsidR="00922C18">
              <w:rPr>
                <w:noProof/>
                <w:webHidden/>
              </w:rPr>
              <w:fldChar w:fldCharType="begin"/>
            </w:r>
            <w:r w:rsidR="00922C18">
              <w:rPr>
                <w:noProof/>
                <w:webHidden/>
              </w:rPr>
              <w:instrText xml:space="preserve"> PAGEREF _Toc125702631 \h </w:instrText>
            </w:r>
            <w:r w:rsidR="00922C18">
              <w:rPr>
                <w:noProof/>
                <w:webHidden/>
              </w:rPr>
            </w:r>
            <w:r w:rsidR="00922C18">
              <w:rPr>
                <w:noProof/>
                <w:webHidden/>
              </w:rPr>
              <w:fldChar w:fldCharType="separate"/>
            </w:r>
            <w:r>
              <w:rPr>
                <w:noProof/>
                <w:webHidden/>
              </w:rPr>
              <w:t>5</w:t>
            </w:r>
            <w:r w:rsidR="00922C18">
              <w:rPr>
                <w:noProof/>
                <w:webHidden/>
              </w:rPr>
              <w:fldChar w:fldCharType="end"/>
            </w:r>
          </w:hyperlink>
        </w:p>
        <w:p w14:paraId="6319AB5C" w14:textId="2775820A" w:rsidR="00922C18" w:rsidRDefault="0072452A">
          <w:pPr>
            <w:pStyle w:val="TDC1"/>
            <w:rPr>
              <w:rFonts w:eastAsiaTheme="minorEastAsia"/>
              <w:noProof/>
              <w:lang w:eastAsia="es-CR"/>
            </w:rPr>
          </w:pPr>
          <w:hyperlink w:anchor="_Toc125702632" w:history="1">
            <w:r w:rsidR="00922C18" w:rsidRPr="00385274">
              <w:rPr>
                <w:rStyle w:val="Hipervnculo"/>
                <w:rFonts w:ascii="Arial" w:hAnsi="Arial" w:cs="Arial"/>
                <w:b/>
                <w:noProof/>
              </w:rPr>
              <w:t>1.7</w:t>
            </w:r>
            <w:r w:rsidR="00922C18">
              <w:rPr>
                <w:rFonts w:eastAsiaTheme="minorEastAsia"/>
                <w:noProof/>
                <w:lang w:eastAsia="es-CR"/>
              </w:rPr>
              <w:tab/>
            </w:r>
            <w:r w:rsidR="00922C18" w:rsidRPr="00385274">
              <w:rPr>
                <w:rStyle w:val="Hipervnculo"/>
                <w:rFonts w:ascii="Arial" w:hAnsi="Arial" w:cs="Arial"/>
                <w:b/>
                <w:noProof/>
              </w:rPr>
              <w:t>Normativa relacionada con el control interno</w:t>
            </w:r>
            <w:r w:rsidR="00922C18">
              <w:rPr>
                <w:noProof/>
                <w:webHidden/>
              </w:rPr>
              <w:tab/>
            </w:r>
            <w:r w:rsidR="00922C18">
              <w:rPr>
                <w:noProof/>
                <w:webHidden/>
              </w:rPr>
              <w:fldChar w:fldCharType="begin"/>
            </w:r>
            <w:r w:rsidR="00922C18">
              <w:rPr>
                <w:noProof/>
                <w:webHidden/>
              </w:rPr>
              <w:instrText xml:space="preserve"> PAGEREF _Toc125702632 \h </w:instrText>
            </w:r>
            <w:r w:rsidR="00922C18">
              <w:rPr>
                <w:noProof/>
                <w:webHidden/>
              </w:rPr>
            </w:r>
            <w:r w:rsidR="00922C18">
              <w:rPr>
                <w:noProof/>
                <w:webHidden/>
              </w:rPr>
              <w:fldChar w:fldCharType="separate"/>
            </w:r>
            <w:r>
              <w:rPr>
                <w:noProof/>
                <w:webHidden/>
              </w:rPr>
              <w:t>6</w:t>
            </w:r>
            <w:r w:rsidR="00922C18">
              <w:rPr>
                <w:noProof/>
                <w:webHidden/>
              </w:rPr>
              <w:fldChar w:fldCharType="end"/>
            </w:r>
          </w:hyperlink>
        </w:p>
        <w:p w14:paraId="6ACFDEA8" w14:textId="466A2CF0" w:rsidR="00922C18" w:rsidRDefault="0072452A">
          <w:pPr>
            <w:pStyle w:val="TDC1"/>
            <w:rPr>
              <w:rFonts w:eastAsiaTheme="minorEastAsia"/>
              <w:noProof/>
              <w:lang w:eastAsia="es-CR"/>
            </w:rPr>
          </w:pPr>
          <w:hyperlink w:anchor="_Toc125702633" w:history="1">
            <w:r w:rsidR="00922C18" w:rsidRPr="00385274">
              <w:rPr>
                <w:rStyle w:val="Hipervnculo"/>
                <w:rFonts w:ascii="Arial" w:hAnsi="Arial" w:cs="Arial"/>
                <w:b/>
                <w:noProof/>
              </w:rPr>
              <w:t>1.8</w:t>
            </w:r>
            <w:r w:rsidR="00922C18">
              <w:rPr>
                <w:rFonts w:eastAsiaTheme="minorEastAsia"/>
                <w:noProof/>
                <w:lang w:eastAsia="es-CR"/>
              </w:rPr>
              <w:tab/>
            </w:r>
            <w:r w:rsidR="00922C18" w:rsidRPr="00385274">
              <w:rPr>
                <w:rStyle w:val="Hipervnculo"/>
                <w:rFonts w:ascii="Arial" w:hAnsi="Arial" w:cs="Arial"/>
                <w:b/>
                <w:noProof/>
              </w:rPr>
              <w:t>Generalidades</w:t>
            </w:r>
            <w:r w:rsidR="00922C18">
              <w:rPr>
                <w:noProof/>
                <w:webHidden/>
              </w:rPr>
              <w:tab/>
            </w:r>
            <w:r w:rsidR="00922C18">
              <w:rPr>
                <w:noProof/>
                <w:webHidden/>
              </w:rPr>
              <w:fldChar w:fldCharType="begin"/>
            </w:r>
            <w:r w:rsidR="00922C18">
              <w:rPr>
                <w:noProof/>
                <w:webHidden/>
              </w:rPr>
              <w:instrText xml:space="preserve"> PAGEREF _Toc125702633 \h </w:instrText>
            </w:r>
            <w:r w:rsidR="00922C18">
              <w:rPr>
                <w:noProof/>
                <w:webHidden/>
              </w:rPr>
            </w:r>
            <w:r w:rsidR="00922C18">
              <w:rPr>
                <w:noProof/>
                <w:webHidden/>
              </w:rPr>
              <w:fldChar w:fldCharType="separate"/>
            </w:r>
            <w:r>
              <w:rPr>
                <w:noProof/>
                <w:webHidden/>
              </w:rPr>
              <w:t>6</w:t>
            </w:r>
            <w:r w:rsidR="00922C18">
              <w:rPr>
                <w:noProof/>
                <w:webHidden/>
              </w:rPr>
              <w:fldChar w:fldCharType="end"/>
            </w:r>
          </w:hyperlink>
        </w:p>
        <w:p w14:paraId="439DC4FF" w14:textId="395DC617" w:rsidR="00922C18" w:rsidRDefault="0072452A">
          <w:pPr>
            <w:pStyle w:val="TDC1"/>
            <w:rPr>
              <w:rFonts w:eastAsiaTheme="minorEastAsia"/>
              <w:noProof/>
              <w:lang w:eastAsia="es-CR"/>
            </w:rPr>
          </w:pPr>
          <w:hyperlink w:anchor="_Toc125702634" w:history="1">
            <w:r w:rsidR="00922C18" w:rsidRPr="00385274">
              <w:rPr>
                <w:rStyle w:val="Hipervnculo"/>
                <w:rFonts w:ascii="Arial" w:hAnsi="Arial" w:cs="Arial"/>
                <w:b/>
                <w:bCs/>
                <w:noProof/>
                <w:kern w:val="28"/>
                <w:lang w:eastAsia="es-ES"/>
              </w:rPr>
              <w:t>2.</w:t>
            </w:r>
            <w:r w:rsidR="00922C18">
              <w:rPr>
                <w:rFonts w:eastAsiaTheme="minorEastAsia"/>
                <w:noProof/>
                <w:lang w:eastAsia="es-CR"/>
              </w:rPr>
              <w:tab/>
            </w:r>
            <w:r w:rsidR="00922C18" w:rsidRPr="00385274">
              <w:rPr>
                <w:rStyle w:val="Hipervnculo"/>
                <w:rFonts w:ascii="Arial" w:hAnsi="Arial" w:cs="Arial"/>
                <w:b/>
                <w:bCs/>
                <w:noProof/>
                <w:kern w:val="28"/>
                <w:lang w:eastAsia="es-ES"/>
              </w:rPr>
              <w:t>RESULTADOS</w:t>
            </w:r>
            <w:r w:rsidR="00922C18">
              <w:rPr>
                <w:noProof/>
                <w:webHidden/>
              </w:rPr>
              <w:tab/>
            </w:r>
            <w:r w:rsidR="00922C18">
              <w:rPr>
                <w:noProof/>
                <w:webHidden/>
              </w:rPr>
              <w:fldChar w:fldCharType="begin"/>
            </w:r>
            <w:r w:rsidR="00922C18">
              <w:rPr>
                <w:noProof/>
                <w:webHidden/>
              </w:rPr>
              <w:instrText xml:space="preserve"> PAGEREF _Toc125702634 \h </w:instrText>
            </w:r>
            <w:r w:rsidR="00922C18">
              <w:rPr>
                <w:noProof/>
                <w:webHidden/>
              </w:rPr>
            </w:r>
            <w:r w:rsidR="00922C18">
              <w:rPr>
                <w:noProof/>
                <w:webHidden/>
              </w:rPr>
              <w:fldChar w:fldCharType="separate"/>
            </w:r>
            <w:r>
              <w:rPr>
                <w:noProof/>
                <w:webHidden/>
              </w:rPr>
              <w:t>7</w:t>
            </w:r>
            <w:r w:rsidR="00922C18">
              <w:rPr>
                <w:noProof/>
                <w:webHidden/>
              </w:rPr>
              <w:fldChar w:fldCharType="end"/>
            </w:r>
          </w:hyperlink>
        </w:p>
        <w:p w14:paraId="169B4F1E" w14:textId="57508D4A" w:rsidR="00922C18" w:rsidRDefault="0072452A">
          <w:pPr>
            <w:pStyle w:val="TDC1"/>
            <w:rPr>
              <w:rFonts w:eastAsiaTheme="minorEastAsia"/>
              <w:noProof/>
              <w:lang w:eastAsia="es-CR"/>
            </w:rPr>
          </w:pPr>
          <w:hyperlink w:anchor="_Toc125702635" w:history="1">
            <w:r w:rsidR="00922C18" w:rsidRPr="00385274">
              <w:rPr>
                <w:rStyle w:val="Hipervnculo"/>
                <w:rFonts w:ascii="Arial" w:hAnsi="Arial" w:cs="Arial"/>
                <w:b/>
                <w:noProof/>
                <w:lang w:val="es-ES_tradnl" w:eastAsia="es-ES"/>
              </w:rPr>
              <w:t>2.1 Sobre el establecimiento del Sistema Específico de Valoración del Riesgo Institucional</w:t>
            </w:r>
            <w:r w:rsidR="00922C18">
              <w:rPr>
                <w:noProof/>
                <w:webHidden/>
              </w:rPr>
              <w:tab/>
            </w:r>
            <w:r w:rsidR="00922C18">
              <w:rPr>
                <w:noProof/>
                <w:webHidden/>
              </w:rPr>
              <w:fldChar w:fldCharType="begin"/>
            </w:r>
            <w:r w:rsidR="00922C18">
              <w:rPr>
                <w:noProof/>
                <w:webHidden/>
              </w:rPr>
              <w:instrText xml:space="preserve"> PAGEREF _Toc125702635 \h </w:instrText>
            </w:r>
            <w:r w:rsidR="00922C18">
              <w:rPr>
                <w:noProof/>
                <w:webHidden/>
              </w:rPr>
            </w:r>
            <w:r w:rsidR="00922C18">
              <w:rPr>
                <w:noProof/>
                <w:webHidden/>
              </w:rPr>
              <w:fldChar w:fldCharType="separate"/>
            </w:r>
            <w:r>
              <w:rPr>
                <w:noProof/>
                <w:webHidden/>
              </w:rPr>
              <w:t>7</w:t>
            </w:r>
            <w:r w:rsidR="00922C18">
              <w:rPr>
                <w:noProof/>
                <w:webHidden/>
              </w:rPr>
              <w:fldChar w:fldCharType="end"/>
            </w:r>
          </w:hyperlink>
        </w:p>
        <w:p w14:paraId="5F36FBA0" w14:textId="3A4B2A73" w:rsidR="00922C18" w:rsidRDefault="0072452A">
          <w:pPr>
            <w:pStyle w:val="TDC1"/>
            <w:rPr>
              <w:rFonts w:eastAsiaTheme="minorEastAsia"/>
              <w:noProof/>
              <w:lang w:eastAsia="es-CR"/>
            </w:rPr>
          </w:pPr>
          <w:hyperlink w:anchor="_Toc125702636" w:history="1">
            <w:r w:rsidR="00922C18" w:rsidRPr="00385274">
              <w:rPr>
                <w:rStyle w:val="Hipervnculo"/>
                <w:rFonts w:ascii="Arial" w:hAnsi="Arial" w:cs="Arial"/>
                <w:b/>
                <w:noProof/>
                <w:lang w:val="es-ES_tradnl" w:eastAsia="es-ES"/>
              </w:rPr>
              <w:t>2.1.1 Sobre la necesidad unificar los documentos que conforman el Marco orientador del SEVRI en el Ministerio de Hacienda</w:t>
            </w:r>
            <w:r w:rsidR="00922C18">
              <w:rPr>
                <w:noProof/>
                <w:webHidden/>
              </w:rPr>
              <w:tab/>
            </w:r>
            <w:r w:rsidR="00922C18">
              <w:rPr>
                <w:noProof/>
                <w:webHidden/>
              </w:rPr>
              <w:fldChar w:fldCharType="begin"/>
            </w:r>
            <w:r w:rsidR="00922C18">
              <w:rPr>
                <w:noProof/>
                <w:webHidden/>
              </w:rPr>
              <w:instrText xml:space="preserve"> PAGEREF _Toc125702636 \h </w:instrText>
            </w:r>
            <w:r w:rsidR="00922C18">
              <w:rPr>
                <w:noProof/>
                <w:webHidden/>
              </w:rPr>
            </w:r>
            <w:r w:rsidR="00922C18">
              <w:rPr>
                <w:noProof/>
                <w:webHidden/>
              </w:rPr>
              <w:fldChar w:fldCharType="separate"/>
            </w:r>
            <w:r>
              <w:rPr>
                <w:noProof/>
                <w:webHidden/>
              </w:rPr>
              <w:t>7</w:t>
            </w:r>
            <w:r w:rsidR="00922C18">
              <w:rPr>
                <w:noProof/>
                <w:webHidden/>
              </w:rPr>
              <w:fldChar w:fldCharType="end"/>
            </w:r>
          </w:hyperlink>
        </w:p>
        <w:p w14:paraId="5B601F23" w14:textId="0233BCBC" w:rsidR="00922C18" w:rsidRDefault="0072452A">
          <w:pPr>
            <w:pStyle w:val="TDC1"/>
            <w:rPr>
              <w:rFonts w:eastAsiaTheme="minorEastAsia"/>
              <w:noProof/>
              <w:lang w:eastAsia="es-CR"/>
            </w:rPr>
          </w:pPr>
          <w:hyperlink w:anchor="_Toc125702637" w:history="1">
            <w:r w:rsidR="00922C18" w:rsidRPr="00385274">
              <w:rPr>
                <w:rStyle w:val="Hipervnculo"/>
                <w:rFonts w:ascii="Arial" w:hAnsi="Arial" w:cs="Arial"/>
                <w:b/>
                <w:noProof/>
                <w:lang w:val="es-ES_tradnl" w:eastAsia="es-ES"/>
              </w:rPr>
              <w:t>2.1.2 Sobre la actualización la Directriz N°002-2015 del 24 de agosto de 2015</w:t>
            </w:r>
            <w:r w:rsidR="00922C18">
              <w:rPr>
                <w:noProof/>
                <w:webHidden/>
              </w:rPr>
              <w:tab/>
            </w:r>
            <w:r w:rsidR="00922C18">
              <w:rPr>
                <w:noProof/>
                <w:webHidden/>
              </w:rPr>
              <w:fldChar w:fldCharType="begin"/>
            </w:r>
            <w:r w:rsidR="00922C18">
              <w:rPr>
                <w:noProof/>
                <w:webHidden/>
              </w:rPr>
              <w:instrText xml:space="preserve"> PAGEREF _Toc125702637 \h </w:instrText>
            </w:r>
            <w:r w:rsidR="00922C18">
              <w:rPr>
                <w:noProof/>
                <w:webHidden/>
              </w:rPr>
            </w:r>
            <w:r w:rsidR="00922C18">
              <w:rPr>
                <w:noProof/>
                <w:webHidden/>
              </w:rPr>
              <w:fldChar w:fldCharType="separate"/>
            </w:r>
            <w:r>
              <w:rPr>
                <w:noProof/>
                <w:webHidden/>
              </w:rPr>
              <w:t>8</w:t>
            </w:r>
            <w:r w:rsidR="00922C18">
              <w:rPr>
                <w:noProof/>
                <w:webHidden/>
              </w:rPr>
              <w:fldChar w:fldCharType="end"/>
            </w:r>
          </w:hyperlink>
        </w:p>
        <w:p w14:paraId="11975EC7" w14:textId="39462B17" w:rsidR="00922C18" w:rsidRDefault="0072452A">
          <w:pPr>
            <w:pStyle w:val="TDC1"/>
            <w:rPr>
              <w:rFonts w:eastAsiaTheme="minorEastAsia"/>
              <w:noProof/>
              <w:lang w:eastAsia="es-CR"/>
            </w:rPr>
          </w:pPr>
          <w:hyperlink w:anchor="_Toc125702638" w:history="1">
            <w:r w:rsidR="00922C18" w:rsidRPr="00385274">
              <w:rPr>
                <w:rStyle w:val="Hipervnculo"/>
                <w:rFonts w:ascii="Arial" w:hAnsi="Arial" w:cs="Arial"/>
                <w:b/>
                <w:noProof/>
                <w:lang w:val="es-ES_tradnl" w:eastAsia="es-ES"/>
              </w:rPr>
              <w:t>2.1.3 Sobre la conformación del componente denominado “Ambiente de Apoyo”</w:t>
            </w:r>
            <w:r w:rsidR="00922C18">
              <w:rPr>
                <w:noProof/>
                <w:webHidden/>
              </w:rPr>
              <w:tab/>
            </w:r>
            <w:r w:rsidR="00922C18">
              <w:rPr>
                <w:noProof/>
                <w:webHidden/>
              </w:rPr>
              <w:fldChar w:fldCharType="begin"/>
            </w:r>
            <w:r w:rsidR="00922C18">
              <w:rPr>
                <w:noProof/>
                <w:webHidden/>
              </w:rPr>
              <w:instrText xml:space="preserve"> PAGEREF _Toc125702638 \h </w:instrText>
            </w:r>
            <w:r w:rsidR="00922C18">
              <w:rPr>
                <w:noProof/>
                <w:webHidden/>
              </w:rPr>
            </w:r>
            <w:r w:rsidR="00922C18">
              <w:rPr>
                <w:noProof/>
                <w:webHidden/>
              </w:rPr>
              <w:fldChar w:fldCharType="separate"/>
            </w:r>
            <w:r>
              <w:rPr>
                <w:noProof/>
                <w:webHidden/>
              </w:rPr>
              <w:t>9</w:t>
            </w:r>
            <w:r w:rsidR="00922C18">
              <w:rPr>
                <w:noProof/>
                <w:webHidden/>
              </w:rPr>
              <w:fldChar w:fldCharType="end"/>
            </w:r>
          </w:hyperlink>
        </w:p>
        <w:p w14:paraId="771BC2B2" w14:textId="33EE280E" w:rsidR="00922C18" w:rsidRDefault="0072452A">
          <w:pPr>
            <w:pStyle w:val="TDC1"/>
            <w:rPr>
              <w:rFonts w:eastAsiaTheme="minorEastAsia"/>
              <w:noProof/>
              <w:lang w:eastAsia="es-CR"/>
            </w:rPr>
          </w:pPr>
          <w:hyperlink w:anchor="_Toc125702639" w:history="1">
            <w:r w:rsidR="00922C18" w:rsidRPr="00385274">
              <w:rPr>
                <w:rStyle w:val="Hipervnculo"/>
                <w:rFonts w:ascii="Arial" w:hAnsi="Arial" w:cs="Arial"/>
                <w:b/>
                <w:noProof/>
                <w:lang w:val="es-ES_tradnl" w:eastAsia="es-ES"/>
              </w:rPr>
              <w:t>2.2 Sobre la Guía Metodológica para la Valoración de Riesgo Institucional</w:t>
            </w:r>
            <w:r w:rsidR="00922C18">
              <w:rPr>
                <w:noProof/>
                <w:webHidden/>
              </w:rPr>
              <w:tab/>
            </w:r>
            <w:r w:rsidR="00922C18">
              <w:rPr>
                <w:noProof/>
                <w:webHidden/>
              </w:rPr>
              <w:fldChar w:fldCharType="begin"/>
            </w:r>
            <w:r w:rsidR="00922C18">
              <w:rPr>
                <w:noProof/>
                <w:webHidden/>
              </w:rPr>
              <w:instrText xml:space="preserve"> PAGEREF _Toc125702639 \h </w:instrText>
            </w:r>
            <w:r w:rsidR="00922C18">
              <w:rPr>
                <w:noProof/>
                <w:webHidden/>
              </w:rPr>
            </w:r>
            <w:r w:rsidR="00922C18">
              <w:rPr>
                <w:noProof/>
                <w:webHidden/>
              </w:rPr>
              <w:fldChar w:fldCharType="separate"/>
            </w:r>
            <w:r>
              <w:rPr>
                <w:noProof/>
                <w:webHidden/>
              </w:rPr>
              <w:t>10</w:t>
            </w:r>
            <w:r w:rsidR="00922C18">
              <w:rPr>
                <w:noProof/>
                <w:webHidden/>
              </w:rPr>
              <w:fldChar w:fldCharType="end"/>
            </w:r>
          </w:hyperlink>
        </w:p>
        <w:p w14:paraId="7F090EA9" w14:textId="18B0CC0A" w:rsidR="00922C18" w:rsidRDefault="0072452A">
          <w:pPr>
            <w:pStyle w:val="TDC1"/>
            <w:rPr>
              <w:rFonts w:eastAsiaTheme="minorEastAsia"/>
              <w:noProof/>
              <w:lang w:eastAsia="es-CR"/>
            </w:rPr>
          </w:pPr>
          <w:hyperlink w:anchor="_Toc125702640" w:history="1">
            <w:r w:rsidR="00922C18" w:rsidRPr="00385274">
              <w:rPr>
                <w:rStyle w:val="Hipervnculo"/>
                <w:rFonts w:ascii="Arial" w:hAnsi="Arial" w:cs="Arial"/>
                <w:b/>
                <w:noProof/>
                <w:lang w:val="es-ES_tradnl" w:eastAsia="es-ES"/>
              </w:rPr>
              <w:t>2.2.1 Sobre el cumplimiento de lo dispuesto en la Guía Metodológica</w:t>
            </w:r>
            <w:r w:rsidR="00922C18">
              <w:rPr>
                <w:noProof/>
                <w:webHidden/>
              </w:rPr>
              <w:tab/>
            </w:r>
            <w:r w:rsidR="00922C18">
              <w:rPr>
                <w:noProof/>
                <w:webHidden/>
              </w:rPr>
              <w:fldChar w:fldCharType="begin"/>
            </w:r>
            <w:r w:rsidR="00922C18">
              <w:rPr>
                <w:noProof/>
                <w:webHidden/>
              </w:rPr>
              <w:instrText xml:space="preserve"> PAGEREF _Toc125702640 \h </w:instrText>
            </w:r>
            <w:r w:rsidR="00922C18">
              <w:rPr>
                <w:noProof/>
                <w:webHidden/>
              </w:rPr>
            </w:r>
            <w:r w:rsidR="00922C18">
              <w:rPr>
                <w:noProof/>
                <w:webHidden/>
              </w:rPr>
              <w:fldChar w:fldCharType="separate"/>
            </w:r>
            <w:r>
              <w:rPr>
                <w:noProof/>
                <w:webHidden/>
              </w:rPr>
              <w:t>10</w:t>
            </w:r>
            <w:r w:rsidR="00922C18">
              <w:rPr>
                <w:noProof/>
                <w:webHidden/>
              </w:rPr>
              <w:fldChar w:fldCharType="end"/>
            </w:r>
          </w:hyperlink>
        </w:p>
        <w:p w14:paraId="19846E18" w14:textId="2B48738A" w:rsidR="00922C18" w:rsidRDefault="0072452A">
          <w:pPr>
            <w:pStyle w:val="TDC1"/>
            <w:rPr>
              <w:rFonts w:eastAsiaTheme="minorEastAsia"/>
              <w:noProof/>
              <w:lang w:eastAsia="es-CR"/>
            </w:rPr>
          </w:pPr>
          <w:hyperlink w:anchor="_Toc125702641" w:history="1">
            <w:r w:rsidR="00922C18" w:rsidRPr="00385274">
              <w:rPr>
                <w:rStyle w:val="Hipervnculo"/>
                <w:rFonts w:ascii="Arial" w:hAnsi="Arial" w:cs="Arial"/>
                <w:b/>
                <w:noProof/>
                <w:lang w:val="es-ES_tradnl" w:eastAsia="es-ES"/>
              </w:rPr>
              <w:t>2.2.2 Sobre la necesidad de documentar la revisión de la Guía Metodológica para la Valoración de Riesgo Institucional</w:t>
            </w:r>
            <w:r w:rsidR="00922C18">
              <w:rPr>
                <w:noProof/>
                <w:webHidden/>
              </w:rPr>
              <w:tab/>
            </w:r>
            <w:r w:rsidR="00922C18">
              <w:rPr>
                <w:noProof/>
                <w:webHidden/>
              </w:rPr>
              <w:fldChar w:fldCharType="begin"/>
            </w:r>
            <w:r w:rsidR="00922C18">
              <w:rPr>
                <w:noProof/>
                <w:webHidden/>
              </w:rPr>
              <w:instrText xml:space="preserve"> PAGEREF _Toc125702641 \h </w:instrText>
            </w:r>
            <w:r w:rsidR="00922C18">
              <w:rPr>
                <w:noProof/>
                <w:webHidden/>
              </w:rPr>
            </w:r>
            <w:r w:rsidR="00922C18">
              <w:rPr>
                <w:noProof/>
                <w:webHidden/>
              </w:rPr>
              <w:fldChar w:fldCharType="separate"/>
            </w:r>
            <w:r>
              <w:rPr>
                <w:noProof/>
                <w:webHidden/>
              </w:rPr>
              <w:t>10</w:t>
            </w:r>
            <w:r w:rsidR="00922C18">
              <w:rPr>
                <w:noProof/>
                <w:webHidden/>
              </w:rPr>
              <w:fldChar w:fldCharType="end"/>
            </w:r>
          </w:hyperlink>
        </w:p>
        <w:p w14:paraId="08805C93" w14:textId="34422E81" w:rsidR="00922C18" w:rsidRDefault="0072452A">
          <w:pPr>
            <w:pStyle w:val="TDC1"/>
            <w:rPr>
              <w:rFonts w:eastAsiaTheme="minorEastAsia"/>
              <w:noProof/>
              <w:lang w:eastAsia="es-CR"/>
            </w:rPr>
          </w:pPr>
          <w:hyperlink w:anchor="_Toc125702642" w:history="1">
            <w:r w:rsidR="00922C18" w:rsidRPr="00385274">
              <w:rPr>
                <w:rStyle w:val="Hipervnculo"/>
                <w:rFonts w:ascii="Arial" w:hAnsi="Arial" w:cs="Arial"/>
                <w:b/>
                <w:bCs/>
                <w:noProof/>
                <w:kern w:val="28"/>
                <w:lang w:eastAsia="es-ES"/>
              </w:rPr>
              <w:t>3</w:t>
            </w:r>
            <w:r w:rsidR="00922C18">
              <w:rPr>
                <w:rFonts w:eastAsiaTheme="minorEastAsia"/>
                <w:noProof/>
                <w:lang w:eastAsia="es-CR"/>
              </w:rPr>
              <w:tab/>
            </w:r>
            <w:r w:rsidR="00922C18" w:rsidRPr="00385274">
              <w:rPr>
                <w:rStyle w:val="Hipervnculo"/>
                <w:rFonts w:ascii="Arial" w:hAnsi="Arial" w:cs="Arial"/>
                <w:b/>
                <w:bCs/>
                <w:noProof/>
                <w:kern w:val="28"/>
                <w:lang w:eastAsia="es-ES"/>
              </w:rPr>
              <w:t>CONCLUSIÓN</w:t>
            </w:r>
            <w:r w:rsidR="00922C18">
              <w:rPr>
                <w:noProof/>
                <w:webHidden/>
              </w:rPr>
              <w:tab/>
            </w:r>
            <w:r w:rsidR="00922C18">
              <w:rPr>
                <w:noProof/>
                <w:webHidden/>
              </w:rPr>
              <w:fldChar w:fldCharType="begin"/>
            </w:r>
            <w:r w:rsidR="00922C18">
              <w:rPr>
                <w:noProof/>
                <w:webHidden/>
              </w:rPr>
              <w:instrText xml:space="preserve"> PAGEREF _Toc125702642 \h </w:instrText>
            </w:r>
            <w:r w:rsidR="00922C18">
              <w:rPr>
                <w:noProof/>
                <w:webHidden/>
              </w:rPr>
            </w:r>
            <w:r w:rsidR="00922C18">
              <w:rPr>
                <w:noProof/>
                <w:webHidden/>
              </w:rPr>
              <w:fldChar w:fldCharType="separate"/>
            </w:r>
            <w:r>
              <w:rPr>
                <w:noProof/>
                <w:webHidden/>
              </w:rPr>
              <w:t>11</w:t>
            </w:r>
            <w:r w:rsidR="00922C18">
              <w:rPr>
                <w:noProof/>
                <w:webHidden/>
              </w:rPr>
              <w:fldChar w:fldCharType="end"/>
            </w:r>
          </w:hyperlink>
        </w:p>
        <w:p w14:paraId="3F6C1C50" w14:textId="70231B62" w:rsidR="00922C18" w:rsidRDefault="0072452A">
          <w:pPr>
            <w:pStyle w:val="TDC1"/>
            <w:rPr>
              <w:rFonts w:eastAsiaTheme="minorEastAsia"/>
              <w:noProof/>
              <w:lang w:eastAsia="es-CR"/>
            </w:rPr>
          </w:pPr>
          <w:hyperlink w:anchor="_Toc125702643" w:history="1">
            <w:r w:rsidR="00922C18" w:rsidRPr="00385274">
              <w:rPr>
                <w:rStyle w:val="Hipervnculo"/>
                <w:rFonts w:ascii="Arial" w:hAnsi="Arial" w:cs="Arial"/>
                <w:b/>
                <w:bCs/>
                <w:noProof/>
                <w:kern w:val="28"/>
                <w:lang w:eastAsia="es-ES"/>
              </w:rPr>
              <w:t>4.</w:t>
            </w:r>
            <w:r w:rsidR="00922C18">
              <w:rPr>
                <w:rFonts w:eastAsiaTheme="minorEastAsia"/>
                <w:noProof/>
                <w:lang w:eastAsia="es-CR"/>
              </w:rPr>
              <w:tab/>
            </w:r>
            <w:r w:rsidR="00922C18" w:rsidRPr="00385274">
              <w:rPr>
                <w:rStyle w:val="Hipervnculo"/>
                <w:rFonts w:ascii="Arial" w:hAnsi="Arial" w:cs="Arial"/>
                <w:b/>
                <w:bCs/>
                <w:noProof/>
                <w:kern w:val="28"/>
                <w:lang w:eastAsia="es-ES"/>
              </w:rPr>
              <w:t>RECOMENDACIONES</w:t>
            </w:r>
            <w:r w:rsidR="00922C18">
              <w:rPr>
                <w:noProof/>
                <w:webHidden/>
              </w:rPr>
              <w:tab/>
            </w:r>
            <w:r w:rsidR="00922C18">
              <w:rPr>
                <w:noProof/>
                <w:webHidden/>
              </w:rPr>
              <w:fldChar w:fldCharType="begin"/>
            </w:r>
            <w:r w:rsidR="00922C18">
              <w:rPr>
                <w:noProof/>
                <w:webHidden/>
              </w:rPr>
              <w:instrText xml:space="preserve"> PAGEREF _Toc125702643 \h </w:instrText>
            </w:r>
            <w:r w:rsidR="00922C18">
              <w:rPr>
                <w:noProof/>
                <w:webHidden/>
              </w:rPr>
            </w:r>
            <w:r w:rsidR="00922C18">
              <w:rPr>
                <w:noProof/>
                <w:webHidden/>
              </w:rPr>
              <w:fldChar w:fldCharType="separate"/>
            </w:r>
            <w:r>
              <w:rPr>
                <w:noProof/>
                <w:webHidden/>
              </w:rPr>
              <w:t>11</w:t>
            </w:r>
            <w:r w:rsidR="00922C18">
              <w:rPr>
                <w:noProof/>
                <w:webHidden/>
              </w:rPr>
              <w:fldChar w:fldCharType="end"/>
            </w:r>
          </w:hyperlink>
        </w:p>
        <w:p w14:paraId="3108C7A5" w14:textId="206097DE" w:rsidR="0055222A" w:rsidRPr="004644EB" w:rsidRDefault="0055222A" w:rsidP="00E03114">
          <w:pPr>
            <w:spacing w:after="0" w:line="240" w:lineRule="auto"/>
            <w:contextualSpacing/>
            <w:rPr>
              <w:rFonts w:ascii="Arial" w:hAnsi="Arial" w:cs="Arial"/>
              <w:b/>
            </w:rPr>
          </w:pPr>
          <w:r w:rsidRPr="00441749">
            <w:rPr>
              <w:rFonts w:ascii="Arial" w:hAnsi="Arial" w:cs="Arial"/>
              <w:b/>
              <w:bCs/>
            </w:rPr>
            <w:fldChar w:fldCharType="end"/>
          </w:r>
        </w:p>
      </w:sdtContent>
    </w:sdt>
    <w:bookmarkStart w:id="4" w:name="_Toc363725340" w:displacedByCustomXml="prev"/>
    <w:bookmarkStart w:id="5" w:name="_Toc390783321" w:displacedByCustomXml="prev"/>
    <w:p w14:paraId="38DFD63D" w14:textId="77777777" w:rsidR="00B15BC4" w:rsidRDefault="0055222A" w:rsidP="005C14D7">
      <w:pPr>
        <w:spacing w:after="0" w:line="240" w:lineRule="auto"/>
        <w:contextualSpacing/>
        <w:rPr>
          <w:rFonts w:ascii="Arial" w:hAnsi="Arial" w:cs="Arial"/>
          <w:b/>
          <w:color w:val="44546A" w:themeColor="text2"/>
          <w:sz w:val="24"/>
          <w:szCs w:val="24"/>
        </w:rPr>
      </w:pPr>
      <w:r w:rsidRPr="0043627B">
        <w:rPr>
          <w:rFonts w:ascii="Arial" w:hAnsi="Arial" w:cs="Arial"/>
          <w:b/>
          <w:color w:val="44546A" w:themeColor="text2"/>
          <w:sz w:val="24"/>
          <w:szCs w:val="24"/>
        </w:rPr>
        <w:br w:type="page"/>
      </w:r>
      <w:bookmarkEnd w:id="5"/>
      <w:bookmarkEnd w:id="4"/>
    </w:p>
    <w:p w14:paraId="7E2ABF11" w14:textId="77777777" w:rsidR="00EA49E7" w:rsidRDefault="00EA49E7" w:rsidP="005C14D7">
      <w:pPr>
        <w:spacing w:after="0" w:line="240" w:lineRule="auto"/>
        <w:contextualSpacing/>
        <w:rPr>
          <w:rFonts w:ascii="Arial" w:hAnsi="Arial" w:cs="Arial"/>
          <w:b/>
          <w:color w:val="44546A" w:themeColor="text2"/>
          <w:sz w:val="24"/>
          <w:szCs w:val="24"/>
        </w:rPr>
      </w:pPr>
    </w:p>
    <w:p w14:paraId="48F0F85F" w14:textId="77777777" w:rsidR="00EA49E7" w:rsidRPr="00A136E4" w:rsidRDefault="00EA49E7" w:rsidP="00EA49E7">
      <w:pPr>
        <w:spacing w:after="0" w:line="240" w:lineRule="auto"/>
        <w:contextualSpacing/>
        <w:jc w:val="center"/>
        <w:rPr>
          <w:rFonts w:ascii="Arial" w:hAnsi="Arial" w:cs="Arial"/>
          <w:b/>
          <w:color w:val="44546A" w:themeColor="text2"/>
          <w:sz w:val="24"/>
          <w:szCs w:val="24"/>
        </w:rPr>
      </w:pPr>
      <w:r w:rsidRPr="00A136E4">
        <w:rPr>
          <w:rFonts w:ascii="Arial" w:hAnsi="Arial" w:cs="Arial"/>
          <w:b/>
          <w:color w:val="44546A" w:themeColor="text2"/>
          <w:sz w:val="24"/>
          <w:szCs w:val="24"/>
        </w:rPr>
        <w:t>RESUMEN EJECUTIVO</w:t>
      </w:r>
    </w:p>
    <w:p w14:paraId="5F751E77" w14:textId="77777777" w:rsidR="00EA49E7" w:rsidRPr="0043627B" w:rsidRDefault="00EA49E7" w:rsidP="00EA49E7">
      <w:pPr>
        <w:spacing w:after="0" w:line="240" w:lineRule="auto"/>
        <w:contextualSpacing/>
        <w:rPr>
          <w:rFonts w:ascii="Arial" w:hAnsi="Arial" w:cs="Arial"/>
          <w:sz w:val="24"/>
          <w:szCs w:val="24"/>
        </w:rPr>
      </w:pPr>
    </w:p>
    <w:p w14:paraId="2B1E9FC9" w14:textId="77777777" w:rsidR="00EA49E7" w:rsidRPr="00A136E4" w:rsidRDefault="00EA49E7" w:rsidP="00EA49E7">
      <w:pPr>
        <w:spacing w:after="0" w:line="240" w:lineRule="auto"/>
        <w:contextualSpacing/>
        <w:rPr>
          <w:rFonts w:ascii="Arial" w:hAnsi="Arial" w:cs="Arial"/>
          <w:b/>
          <w:color w:val="44546A" w:themeColor="text2"/>
          <w:sz w:val="24"/>
          <w:szCs w:val="24"/>
        </w:rPr>
      </w:pPr>
      <w:r w:rsidRPr="00A136E4">
        <w:rPr>
          <w:rFonts w:ascii="Arial" w:hAnsi="Arial" w:cs="Arial"/>
          <w:b/>
          <w:color w:val="44546A" w:themeColor="text2"/>
          <w:sz w:val="24"/>
          <w:szCs w:val="24"/>
        </w:rPr>
        <w:t>¿QUÉ EXAMINAMOS?</w:t>
      </w:r>
    </w:p>
    <w:p w14:paraId="50E4B2B7" w14:textId="77777777" w:rsidR="00EA49E7" w:rsidRPr="0043627B" w:rsidRDefault="00EA49E7" w:rsidP="00EA49E7">
      <w:pPr>
        <w:spacing w:after="0" w:line="240" w:lineRule="auto"/>
        <w:contextualSpacing/>
        <w:rPr>
          <w:rFonts w:ascii="Arial" w:hAnsi="Arial" w:cs="Arial"/>
          <w:sz w:val="24"/>
          <w:szCs w:val="24"/>
        </w:rPr>
      </w:pPr>
    </w:p>
    <w:p w14:paraId="70A9085E" w14:textId="6AD8D0BF" w:rsidR="00EA49E7" w:rsidRDefault="00EA49E7" w:rsidP="00EA49E7">
      <w:pPr>
        <w:spacing w:after="0" w:line="240" w:lineRule="auto"/>
        <w:contextualSpacing/>
        <w:jc w:val="both"/>
        <w:rPr>
          <w:rFonts w:ascii="Arial" w:hAnsi="Arial" w:cs="Arial"/>
        </w:rPr>
      </w:pPr>
      <w:r w:rsidRPr="00CF4FB9">
        <w:rPr>
          <w:rFonts w:ascii="Arial" w:hAnsi="Arial" w:cs="Arial"/>
        </w:rPr>
        <w:t xml:space="preserve">El estudio de auditoría tuvo como propósito </w:t>
      </w:r>
      <w:r w:rsidR="0091102D">
        <w:rPr>
          <w:rFonts w:ascii="Arial" w:hAnsi="Arial" w:cs="Arial"/>
        </w:rPr>
        <w:t>v</w:t>
      </w:r>
      <w:r w:rsidR="0091102D" w:rsidRPr="0091102D">
        <w:rPr>
          <w:rFonts w:ascii="Arial" w:hAnsi="Arial" w:cs="Arial"/>
        </w:rPr>
        <w:t>erificar si la Dirección de Planificación Institucional ha establecido controles válidos y suficientes para revisar y actualizar la metodología del SEVRI</w:t>
      </w:r>
      <w:r w:rsidR="0091102D">
        <w:rPr>
          <w:rFonts w:ascii="Arial" w:hAnsi="Arial" w:cs="Arial"/>
        </w:rPr>
        <w:t xml:space="preserve">, </w:t>
      </w:r>
      <w:r w:rsidR="0091102D" w:rsidRPr="0091102D">
        <w:rPr>
          <w:rFonts w:ascii="Arial" w:hAnsi="Arial" w:cs="Arial"/>
        </w:rPr>
        <w:t xml:space="preserve">en el período comprendido entre enero 2022 al 31 octubre 2022, </w:t>
      </w:r>
      <w:r w:rsidRPr="00DA27B1">
        <w:rPr>
          <w:rFonts w:ascii="Arial" w:hAnsi="Arial" w:cs="Arial"/>
        </w:rPr>
        <w:t>ampliándose en aquellos casos en que se consideró necesario.</w:t>
      </w:r>
    </w:p>
    <w:p w14:paraId="1ACD16B7" w14:textId="1E208820" w:rsidR="0037274B" w:rsidRDefault="0037274B" w:rsidP="00EA49E7">
      <w:pPr>
        <w:spacing w:after="0" w:line="240" w:lineRule="auto"/>
        <w:contextualSpacing/>
        <w:jc w:val="both"/>
        <w:rPr>
          <w:rFonts w:ascii="Arial" w:hAnsi="Arial" w:cs="Arial"/>
        </w:rPr>
      </w:pPr>
    </w:p>
    <w:p w14:paraId="1F096726" w14:textId="77777777" w:rsidR="0037274B" w:rsidRDefault="0037274B" w:rsidP="00EA49E7">
      <w:pPr>
        <w:spacing w:after="0" w:line="240" w:lineRule="auto"/>
        <w:contextualSpacing/>
        <w:jc w:val="both"/>
        <w:rPr>
          <w:rFonts w:ascii="Arial" w:hAnsi="Arial" w:cs="Arial"/>
        </w:rPr>
      </w:pPr>
      <w:r>
        <w:rPr>
          <w:rFonts w:ascii="Arial" w:hAnsi="Arial" w:cs="Arial"/>
        </w:rPr>
        <w:t xml:space="preserve">Este es un informe parcial del proyecto de auditoría denominado “Evaluación del Sistema de Valoración de Riesgos para la toma de decisiones gerenciales”, que tiene como objetivo general: </w:t>
      </w:r>
    </w:p>
    <w:p w14:paraId="552B4093" w14:textId="77777777" w:rsidR="0037274B" w:rsidRDefault="0037274B" w:rsidP="00EA49E7">
      <w:pPr>
        <w:spacing w:after="0" w:line="240" w:lineRule="auto"/>
        <w:contextualSpacing/>
        <w:jc w:val="both"/>
        <w:rPr>
          <w:rFonts w:ascii="Arial" w:hAnsi="Arial" w:cs="Arial"/>
        </w:rPr>
      </w:pPr>
    </w:p>
    <w:p w14:paraId="141A82A9" w14:textId="3A68AF00" w:rsidR="0037274B" w:rsidRDefault="0037274B" w:rsidP="0037274B">
      <w:pPr>
        <w:autoSpaceDE w:val="0"/>
        <w:autoSpaceDN w:val="0"/>
        <w:adjustRightInd w:val="0"/>
        <w:spacing w:after="0"/>
        <w:ind w:left="993" w:right="1275"/>
        <w:jc w:val="both"/>
        <w:rPr>
          <w:rFonts w:ascii="Arial" w:hAnsi="Arial" w:cs="Arial"/>
          <w:i/>
          <w:iCs/>
          <w:color w:val="000000"/>
        </w:rPr>
      </w:pPr>
      <w:r>
        <w:rPr>
          <w:rFonts w:ascii="Arial" w:hAnsi="Arial" w:cs="Arial"/>
        </w:rPr>
        <w:t xml:space="preserve"> </w:t>
      </w:r>
      <w:r w:rsidRPr="001F7839">
        <w:rPr>
          <w:rFonts w:ascii="Arial" w:hAnsi="Arial" w:cs="Arial"/>
          <w:i/>
        </w:rPr>
        <w:t>“</w:t>
      </w:r>
      <w:r>
        <w:rPr>
          <w:rFonts w:ascii="Arial" w:hAnsi="Arial" w:cs="Arial"/>
          <w:i/>
        </w:rPr>
        <w:t>Verificar si la definición e implementación del Sistema de Valoración de Riesgos por parte de la Dirección de Planificación Institucional cumple con el marco normativo y las sanas prácticas internacionales de gestión de riesgos para la toma de decisiones gerenciales</w:t>
      </w:r>
      <w:r w:rsidRPr="00BD6956">
        <w:rPr>
          <w:rFonts w:ascii="Arial" w:hAnsi="Arial" w:cs="Arial"/>
          <w:i/>
          <w:iCs/>
          <w:color w:val="000000"/>
        </w:rPr>
        <w:t>”</w:t>
      </w:r>
    </w:p>
    <w:p w14:paraId="4D48C728" w14:textId="11AA3CB6" w:rsidR="00F526CD" w:rsidRDefault="00F526CD" w:rsidP="00EA49E7">
      <w:pPr>
        <w:spacing w:after="0" w:line="240" w:lineRule="auto"/>
        <w:contextualSpacing/>
        <w:jc w:val="both"/>
        <w:rPr>
          <w:rFonts w:ascii="Arial" w:hAnsi="Arial" w:cs="Arial"/>
        </w:rPr>
      </w:pPr>
    </w:p>
    <w:p w14:paraId="4AE7DD7F" w14:textId="5AACA803" w:rsidR="0037274B" w:rsidRDefault="0037274B" w:rsidP="00EA49E7">
      <w:pPr>
        <w:spacing w:after="0" w:line="240" w:lineRule="auto"/>
        <w:contextualSpacing/>
        <w:jc w:val="both"/>
        <w:rPr>
          <w:rFonts w:ascii="Arial" w:hAnsi="Arial" w:cs="Arial"/>
        </w:rPr>
      </w:pPr>
      <w:r>
        <w:rPr>
          <w:rFonts w:ascii="Arial" w:hAnsi="Arial" w:cs="Arial"/>
        </w:rPr>
        <w:t>Este informe abarca el primer objetivo específico que forma parte del objetivo general indicado anteriormente, el cual se indica en el apartado de Introducción del presente informe.</w:t>
      </w:r>
    </w:p>
    <w:p w14:paraId="09792681" w14:textId="77777777" w:rsidR="0037274B" w:rsidRDefault="0037274B" w:rsidP="00EA49E7">
      <w:pPr>
        <w:spacing w:after="0" w:line="240" w:lineRule="auto"/>
        <w:contextualSpacing/>
        <w:jc w:val="both"/>
        <w:rPr>
          <w:rFonts w:ascii="Arial" w:hAnsi="Arial" w:cs="Arial"/>
        </w:rPr>
      </w:pPr>
    </w:p>
    <w:p w14:paraId="315E8E3C" w14:textId="77777777" w:rsidR="00EA49E7" w:rsidRPr="0024124B" w:rsidRDefault="00EA49E7" w:rsidP="00EA49E7">
      <w:pPr>
        <w:spacing w:after="0" w:line="240" w:lineRule="auto"/>
        <w:contextualSpacing/>
        <w:rPr>
          <w:rFonts w:ascii="Arial" w:eastAsiaTheme="minorEastAsia" w:hAnsi="Arial" w:cs="Arial"/>
          <w:b/>
          <w:color w:val="44546A" w:themeColor="text2"/>
          <w:sz w:val="24"/>
          <w:szCs w:val="24"/>
          <w:lang w:val="es-ES_tradnl" w:eastAsia="es-ES"/>
        </w:rPr>
      </w:pPr>
      <w:r w:rsidRPr="0024124B">
        <w:rPr>
          <w:rFonts w:ascii="Arial" w:eastAsiaTheme="minorEastAsia" w:hAnsi="Arial" w:cs="Arial"/>
          <w:b/>
          <w:color w:val="44546A" w:themeColor="text2"/>
          <w:sz w:val="24"/>
          <w:szCs w:val="24"/>
          <w:lang w:val="es-ES_tradnl" w:eastAsia="es-ES"/>
        </w:rPr>
        <w:t>¿POR QUÉ ES IMPORTANTE?</w:t>
      </w:r>
    </w:p>
    <w:p w14:paraId="13836E2A" w14:textId="77777777" w:rsidR="00EA49E7" w:rsidRDefault="00EA49E7" w:rsidP="00EA49E7">
      <w:pPr>
        <w:spacing w:after="0" w:line="240" w:lineRule="auto"/>
        <w:contextualSpacing/>
        <w:rPr>
          <w:rFonts w:ascii="Arial" w:hAnsi="Arial" w:cs="Arial"/>
          <w:sz w:val="24"/>
          <w:szCs w:val="24"/>
        </w:rPr>
      </w:pPr>
    </w:p>
    <w:p w14:paraId="3425F6FC" w14:textId="77777777" w:rsidR="00EB6B66" w:rsidRDefault="00197E38" w:rsidP="00EA49E7">
      <w:pPr>
        <w:spacing w:after="0" w:line="240" w:lineRule="auto"/>
        <w:contextualSpacing/>
        <w:jc w:val="both"/>
        <w:rPr>
          <w:rFonts w:ascii="Arial" w:hAnsi="Arial" w:cs="Arial"/>
          <w:color w:val="000000"/>
        </w:rPr>
      </w:pPr>
      <w:bookmarkStart w:id="6" w:name="_Hlk115941006"/>
      <w:r w:rsidRPr="00197E38">
        <w:rPr>
          <w:rFonts w:ascii="Arial" w:hAnsi="Arial" w:cs="Arial"/>
          <w:color w:val="000000"/>
        </w:rPr>
        <w:t xml:space="preserve">La Dirección de Planificación Institucional, </w:t>
      </w:r>
      <w:r>
        <w:rPr>
          <w:rFonts w:ascii="Arial" w:hAnsi="Arial" w:cs="Arial"/>
          <w:color w:val="000000"/>
        </w:rPr>
        <w:t>tiene como función</w:t>
      </w:r>
      <w:r w:rsidR="00EB6B66" w:rsidRPr="0083515A">
        <w:rPr>
          <w:rStyle w:val="Refdenotaalpie"/>
          <w:rFonts w:ascii="Arial" w:hAnsi="Arial" w:cs="Arial"/>
        </w:rPr>
        <w:footnoteReference w:id="2"/>
      </w:r>
      <w:r>
        <w:rPr>
          <w:rFonts w:ascii="Arial" w:hAnsi="Arial" w:cs="Arial"/>
          <w:color w:val="000000"/>
        </w:rPr>
        <w:t xml:space="preserve"> a</w:t>
      </w:r>
      <w:r w:rsidRPr="00197E38">
        <w:rPr>
          <w:rFonts w:ascii="Arial" w:hAnsi="Arial" w:cs="Arial"/>
          <w:color w:val="000000"/>
        </w:rPr>
        <w:t>poyar a la o el jerarca institucional en la realización de labores de control interno y valoración de riesgos institucionales, en concordancia con la planificación institucional y conforme a las directrices emitidas por la Contraloría General de la República</w:t>
      </w:r>
      <w:r>
        <w:rPr>
          <w:rFonts w:ascii="Arial" w:hAnsi="Arial" w:cs="Arial"/>
          <w:color w:val="000000"/>
        </w:rPr>
        <w:t xml:space="preserve">, por lo cual, </w:t>
      </w:r>
      <w:r w:rsidRPr="00197E38">
        <w:rPr>
          <w:rFonts w:ascii="Arial" w:hAnsi="Arial" w:cs="Arial"/>
          <w:color w:val="000000"/>
        </w:rPr>
        <w:t xml:space="preserve">en el cumplimiento de sus funciones deberán observar el cumplimiento de las disposiciones legales y reglamentarias que resulten aplicables por razón de la materia, </w:t>
      </w:r>
      <w:r w:rsidR="00EB6B66">
        <w:rPr>
          <w:rFonts w:ascii="Arial" w:hAnsi="Arial" w:cs="Arial"/>
          <w:color w:val="000000"/>
        </w:rPr>
        <w:t xml:space="preserve">a fin de poder </w:t>
      </w:r>
      <w:r w:rsidR="00EB6B66" w:rsidRPr="00EB6B66">
        <w:rPr>
          <w:rFonts w:ascii="Arial" w:hAnsi="Arial" w:cs="Arial"/>
          <w:color w:val="000000"/>
        </w:rPr>
        <w:t>garanti</w:t>
      </w:r>
      <w:r w:rsidR="00EB6B66">
        <w:rPr>
          <w:rFonts w:ascii="Arial" w:hAnsi="Arial" w:cs="Arial"/>
          <w:color w:val="000000"/>
        </w:rPr>
        <w:t>zar</w:t>
      </w:r>
      <w:r w:rsidR="00EB6B66" w:rsidRPr="00EB6B66">
        <w:rPr>
          <w:rFonts w:ascii="Arial" w:hAnsi="Arial" w:cs="Arial"/>
          <w:color w:val="000000"/>
        </w:rPr>
        <w:t xml:space="preserve"> en forma razonable el cumplimiento de los objetivos de mejora de la gestión institucional que se persiguen con la implementación y puesta en operación del SEVRI.</w:t>
      </w:r>
    </w:p>
    <w:p w14:paraId="2F80DE17" w14:textId="77777777" w:rsidR="00197E38" w:rsidRDefault="00197E38" w:rsidP="00EA49E7">
      <w:pPr>
        <w:spacing w:after="0" w:line="240" w:lineRule="auto"/>
        <w:contextualSpacing/>
        <w:jc w:val="both"/>
        <w:rPr>
          <w:rFonts w:ascii="Arial" w:hAnsi="Arial" w:cs="Arial"/>
        </w:rPr>
      </w:pPr>
    </w:p>
    <w:bookmarkEnd w:id="6"/>
    <w:p w14:paraId="7DD4E933" w14:textId="77777777" w:rsidR="00EA49E7" w:rsidRPr="00A51503" w:rsidRDefault="00EA49E7" w:rsidP="00EA49E7">
      <w:pPr>
        <w:spacing w:after="0" w:line="240" w:lineRule="auto"/>
        <w:contextualSpacing/>
        <w:rPr>
          <w:rFonts w:ascii="Arial" w:hAnsi="Arial" w:cs="Arial"/>
          <w:b/>
          <w:color w:val="40546A"/>
          <w:sz w:val="24"/>
          <w:szCs w:val="24"/>
        </w:rPr>
      </w:pPr>
      <w:r w:rsidRPr="00A51503">
        <w:rPr>
          <w:rFonts w:ascii="Arial" w:hAnsi="Arial" w:cs="Arial"/>
          <w:b/>
          <w:color w:val="40546A"/>
          <w:sz w:val="24"/>
          <w:szCs w:val="24"/>
        </w:rPr>
        <w:t>¿QUÉ ENCONTRAMOS?</w:t>
      </w:r>
      <w:r w:rsidR="00197E38">
        <w:rPr>
          <w:rFonts w:ascii="Arial" w:hAnsi="Arial" w:cs="Arial"/>
          <w:b/>
          <w:color w:val="40546A"/>
          <w:sz w:val="24"/>
          <w:szCs w:val="24"/>
        </w:rPr>
        <w:t xml:space="preserve"> </w:t>
      </w:r>
    </w:p>
    <w:p w14:paraId="6C03495A" w14:textId="77777777" w:rsidR="00EA49E7" w:rsidRDefault="00EA49E7" w:rsidP="00EA49E7">
      <w:pPr>
        <w:spacing w:after="0" w:line="240" w:lineRule="auto"/>
        <w:contextualSpacing/>
        <w:rPr>
          <w:rFonts w:ascii="Arial" w:hAnsi="Arial" w:cs="Arial"/>
          <w:b/>
          <w:color w:val="44546A" w:themeColor="text2"/>
          <w:sz w:val="24"/>
          <w:szCs w:val="24"/>
        </w:rPr>
      </w:pPr>
    </w:p>
    <w:p w14:paraId="5521FD67" w14:textId="1539891F" w:rsidR="00CB1418" w:rsidRPr="00CB1418" w:rsidRDefault="00EA49E7" w:rsidP="00CB1418">
      <w:pPr>
        <w:spacing w:after="0" w:line="240" w:lineRule="auto"/>
        <w:contextualSpacing/>
        <w:jc w:val="both"/>
        <w:rPr>
          <w:rFonts w:ascii="Arial" w:hAnsi="Arial" w:cs="Arial"/>
        </w:rPr>
      </w:pPr>
      <w:r w:rsidRPr="00F8377D">
        <w:rPr>
          <w:rFonts w:ascii="Arial" w:hAnsi="Arial" w:cs="Arial"/>
        </w:rPr>
        <w:t xml:space="preserve">Producto de la revisión realizada </w:t>
      </w:r>
      <w:r w:rsidR="00CB1418">
        <w:rPr>
          <w:rFonts w:ascii="Arial" w:hAnsi="Arial" w:cs="Arial"/>
        </w:rPr>
        <w:t>se determina</w:t>
      </w:r>
      <w:r w:rsidRPr="00F8377D">
        <w:rPr>
          <w:rFonts w:ascii="Arial" w:hAnsi="Arial" w:cs="Arial"/>
        </w:rPr>
        <w:t xml:space="preserve"> </w:t>
      </w:r>
      <w:r w:rsidR="00CB1418">
        <w:rPr>
          <w:rFonts w:ascii="Arial" w:hAnsi="Arial" w:cs="Arial"/>
        </w:rPr>
        <w:t>que l</w:t>
      </w:r>
      <w:r w:rsidR="00CB1418" w:rsidRPr="00CB1418">
        <w:rPr>
          <w:rFonts w:ascii="Arial" w:hAnsi="Arial" w:cs="Arial"/>
        </w:rPr>
        <w:t xml:space="preserve">a Dirección de Planificación Institucional no ha establecido las actividades de control necesarias para revisar y actualizar la metodología de SEVRI, </w:t>
      </w:r>
      <w:r w:rsidR="00FB0719">
        <w:rPr>
          <w:rFonts w:ascii="Arial" w:hAnsi="Arial" w:cs="Arial"/>
        </w:rPr>
        <w:t>pues</w:t>
      </w:r>
      <w:r w:rsidR="00CB1418" w:rsidRPr="00CB1418">
        <w:rPr>
          <w:rFonts w:ascii="Arial" w:hAnsi="Arial" w:cs="Arial"/>
        </w:rPr>
        <w:t xml:space="preserve"> la Directriz N°002-2015, que rige actualmente el tema del Sistema Específico de Valoración del Riesgo Institucional en el Ministerio de Hacienda se encuentra desactualizada, asimismo, se </w:t>
      </w:r>
      <w:r w:rsidR="00CB1418">
        <w:rPr>
          <w:rFonts w:ascii="Arial" w:hAnsi="Arial" w:cs="Arial"/>
        </w:rPr>
        <w:t>señala</w:t>
      </w:r>
      <w:r w:rsidR="00CB1418" w:rsidRPr="00CB1418">
        <w:rPr>
          <w:rFonts w:ascii="Arial" w:hAnsi="Arial" w:cs="Arial"/>
        </w:rPr>
        <w:t xml:space="preserve"> la necesidad de </w:t>
      </w:r>
      <w:r w:rsidR="0051100A">
        <w:rPr>
          <w:rFonts w:ascii="Arial" w:hAnsi="Arial" w:cs="Arial"/>
        </w:rPr>
        <w:t xml:space="preserve">unificar </w:t>
      </w:r>
      <w:r w:rsidR="00CB1418" w:rsidRPr="00CB1418">
        <w:rPr>
          <w:rFonts w:ascii="Arial" w:hAnsi="Arial" w:cs="Arial"/>
        </w:rPr>
        <w:t>los documentos que conforman el Marco orientador; como también, el hecho de definir claramente la estructura organizacional que apoye la operación de este proceso de conformidad con la normativa vigente</w:t>
      </w:r>
      <w:r w:rsidR="00CB1418">
        <w:rPr>
          <w:rFonts w:ascii="Arial" w:hAnsi="Arial" w:cs="Arial"/>
        </w:rPr>
        <w:t>.</w:t>
      </w:r>
    </w:p>
    <w:p w14:paraId="14032E10" w14:textId="77777777" w:rsidR="00CB1418" w:rsidRDefault="00CB1418" w:rsidP="00CB1418">
      <w:pPr>
        <w:spacing w:after="0" w:line="240" w:lineRule="auto"/>
        <w:contextualSpacing/>
        <w:jc w:val="both"/>
        <w:rPr>
          <w:rFonts w:ascii="Arial" w:hAnsi="Arial" w:cs="Arial"/>
        </w:rPr>
      </w:pPr>
    </w:p>
    <w:p w14:paraId="590AE6E4" w14:textId="199590AA" w:rsidR="00EA49E7" w:rsidRPr="0075134A" w:rsidRDefault="00CB1418" w:rsidP="00CB1418">
      <w:pPr>
        <w:spacing w:after="0" w:line="240" w:lineRule="auto"/>
        <w:contextualSpacing/>
        <w:jc w:val="both"/>
        <w:rPr>
          <w:rFonts w:ascii="Arial" w:hAnsi="Arial" w:cs="Arial"/>
        </w:rPr>
      </w:pPr>
      <w:r w:rsidRPr="00CB1418">
        <w:rPr>
          <w:rFonts w:ascii="Arial" w:hAnsi="Arial" w:cs="Arial"/>
        </w:rPr>
        <w:t xml:space="preserve">Adicionalmente, en atención </w:t>
      </w:r>
      <w:r w:rsidR="00FB0719">
        <w:rPr>
          <w:rFonts w:ascii="Arial" w:hAnsi="Arial" w:cs="Arial"/>
        </w:rPr>
        <w:t>con</w:t>
      </w:r>
      <w:r w:rsidRPr="00CB1418">
        <w:rPr>
          <w:rFonts w:ascii="Arial" w:hAnsi="Arial" w:cs="Arial"/>
        </w:rPr>
        <w:t xml:space="preserve"> lo dispuesto en la Guía Metodológica para la Valoración de Riesgo Institucional, se determinó la no elaboración del plan para llevar a cabo el </w:t>
      </w:r>
      <w:r w:rsidR="006C1B0B">
        <w:rPr>
          <w:rFonts w:ascii="Arial" w:hAnsi="Arial" w:cs="Arial"/>
        </w:rPr>
        <w:t>p</w:t>
      </w:r>
      <w:r w:rsidRPr="00CB1418">
        <w:rPr>
          <w:rFonts w:ascii="Arial" w:hAnsi="Arial" w:cs="Arial"/>
        </w:rPr>
        <w:t>roceso de</w:t>
      </w:r>
      <w:r w:rsidR="006C1B0B">
        <w:rPr>
          <w:rFonts w:ascii="Arial" w:hAnsi="Arial" w:cs="Arial"/>
        </w:rPr>
        <w:t>l SEVRI</w:t>
      </w:r>
      <w:r w:rsidRPr="00CB1418">
        <w:rPr>
          <w:rFonts w:ascii="Arial" w:hAnsi="Arial" w:cs="Arial"/>
        </w:rPr>
        <w:t xml:space="preserve"> en el Ministerio de Hacienda, de conformidad con lo referido en esta guía, </w:t>
      </w:r>
      <w:r>
        <w:rPr>
          <w:rFonts w:ascii="Arial" w:hAnsi="Arial" w:cs="Arial"/>
        </w:rPr>
        <w:t>y finalmente</w:t>
      </w:r>
      <w:r w:rsidRPr="00CB1418">
        <w:rPr>
          <w:rFonts w:ascii="Arial" w:hAnsi="Arial" w:cs="Arial"/>
        </w:rPr>
        <w:t xml:space="preserve"> se señala la necesidad de documentar la revisión que se estableció al menos una vez al año de esta herramienta administrativa.</w:t>
      </w:r>
    </w:p>
    <w:p w14:paraId="124892D2" w14:textId="77777777" w:rsidR="00CB1418" w:rsidRDefault="00CB1418" w:rsidP="00EA49E7">
      <w:pPr>
        <w:pStyle w:val="Sinespaciado"/>
        <w:contextualSpacing/>
        <w:rPr>
          <w:rFonts w:ascii="Arial" w:hAnsi="Arial" w:cs="Arial"/>
          <w:b/>
          <w:color w:val="40546A"/>
          <w:sz w:val="24"/>
          <w:szCs w:val="24"/>
        </w:rPr>
      </w:pPr>
    </w:p>
    <w:p w14:paraId="05353B8A" w14:textId="77777777" w:rsidR="00EA49E7" w:rsidRPr="00A51503" w:rsidRDefault="00EA49E7" w:rsidP="00EA49E7">
      <w:pPr>
        <w:pStyle w:val="Sinespaciado"/>
        <w:contextualSpacing/>
        <w:rPr>
          <w:rFonts w:ascii="Arial" w:hAnsi="Arial" w:cs="Arial"/>
          <w:b/>
          <w:color w:val="40546A"/>
          <w:sz w:val="24"/>
          <w:szCs w:val="24"/>
        </w:rPr>
      </w:pPr>
      <w:r w:rsidRPr="00A51503">
        <w:rPr>
          <w:rFonts w:ascii="Arial" w:hAnsi="Arial" w:cs="Arial"/>
          <w:b/>
          <w:color w:val="40546A"/>
          <w:sz w:val="24"/>
          <w:szCs w:val="24"/>
        </w:rPr>
        <w:t>¿QUÉ SIGUE?</w:t>
      </w:r>
    </w:p>
    <w:p w14:paraId="6639C7EA" w14:textId="77777777" w:rsidR="00EA49E7" w:rsidRPr="0043627B" w:rsidRDefault="00EA49E7" w:rsidP="00EA49E7">
      <w:pPr>
        <w:spacing w:after="0" w:line="240" w:lineRule="auto"/>
        <w:contextualSpacing/>
        <w:jc w:val="both"/>
        <w:rPr>
          <w:rFonts w:ascii="Arial" w:hAnsi="Arial" w:cs="Arial"/>
          <w:sz w:val="24"/>
          <w:szCs w:val="24"/>
        </w:rPr>
      </w:pPr>
    </w:p>
    <w:p w14:paraId="1506F0F9" w14:textId="77777777" w:rsidR="00FB0719" w:rsidRDefault="00EA49E7" w:rsidP="00E25A43">
      <w:pPr>
        <w:spacing w:after="0" w:line="240" w:lineRule="auto"/>
        <w:contextualSpacing/>
        <w:jc w:val="both"/>
        <w:rPr>
          <w:rFonts w:ascii="Arial" w:hAnsi="Arial" w:cs="Arial"/>
        </w:rPr>
      </w:pPr>
      <w:r w:rsidRPr="00AF142D">
        <w:rPr>
          <w:rFonts w:ascii="Arial" w:hAnsi="Arial" w:cs="Arial"/>
        </w:rPr>
        <w:t xml:space="preserve">En el presente informe </w:t>
      </w:r>
      <w:r w:rsidR="006C1B0B" w:rsidRPr="00AF142D">
        <w:rPr>
          <w:rFonts w:ascii="Arial" w:hAnsi="Arial" w:cs="Arial"/>
        </w:rPr>
        <w:t>se giran recomendaciones relacionadas con el establecimiento de</w:t>
      </w:r>
      <w:r w:rsidR="006C1B0B">
        <w:rPr>
          <w:rFonts w:ascii="Arial" w:hAnsi="Arial" w:cs="Arial"/>
        </w:rPr>
        <w:t xml:space="preserve"> actividades</w:t>
      </w:r>
      <w:r w:rsidR="006C1B0B" w:rsidRPr="007A71EA">
        <w:rPr>
          <w:rFonts w:ascii="Arial" w:hAnsi="Arial" w:cs="Arial"/>
        </w:rPr>
        <w:t xml:space="preserve"> de control </w:t>
      </w:r>
      <w:r w:rsidR="006C1B0B">
        <w:rPr>
          <w:rFonts w:ascii="Arial" w:hAnsi="Arial" w:cs="Arial"/>
        </w:rPr>
        <w:t xml:space="preserve">que </w:t>
      </w:r>
      <w:r w:rsidR="006C1B0B" w:rsidRPr="007E276C">
        <w:rPr>
          <w:rFonts w:ascii="Arial" w:hAnsi="Arial" w:cs="Arial"/>
        </w:rPr>
        <w:t xml:space="preserve">permitan la actualización periódica de la normativa interna que regula el SEVRI </w:t>
      </w:r>
      <w:r w:rsidR="006C1B0B">
        <w:rPr>
          <w:rFonts w:ascii="Arial" w:hAnsi="Arial" w:cs="Arial"/>
        </w:rPr>
        <w:t>y la conformación</w:t>
      </w:r>
      <w:r w:rsidR="006C1B0B" w:rsidRPr="00C96DF5">
        <w:rPr>
          <w:rFonts w:ascii="Arial" w:hAnsi="Arial" w:cs="Arial"/>
          <w:szCs w:val="24"/>
        </w:rPr>
        <w:t xml:space="preserve"> </w:t>
      </w:r>
      <w:r w:rsidR="006C1B0B">
        <w:rPr>
          <w:rFonts w:ascii="Arial" w:hAnsi="Arial" w:cs="Arial"/>
          <w:szCs w:val="24"/>
        </w:rPr>
        <w:t>d</w:t>
      </w:r>
      <w:r w:rsidR="006C1B0B" w:rsidRPr="00C96DF5">
        <w:rPr>
          <w:rFonts w:ascii="Arial" w:hAnsi="Arial" w:cs="Arial"/>
          <w:szCs w:val="24"/>
        </w:rPr>
        <w:t>el componente denominado “Ambiente de Apoyo”</w:t>
      </w:r>
      <w:r w:rsidR="006C1B0B">
        <w:rPr>
          <w:rFonts w:ascii="Arial" w:hAnsi="Arial" w:cs="Arial"/>
          <w:szCs w:val="24"/>
        </w:rPr>
        <w:t xml:space="preserve">, asimismo, </w:t>
      </w:r>
      <w:r w:rsidR="007E276C" w:rsidRPr="007E276C">
        <w:rPr>
          <w:rFonts w:ascii="Arial" w:hAnsi="Arial" w:cs="Arial"/>
        </w:rPr>
        <w:t xml:space="preserve">se señala la necesidad </w:t>
      </w:r>
      <w:r w:rsidR="007E276C">
        <w:rPr>
          <w:rFonts w:ascii="Arial" w:hAnsi="Arial" w:cs="Arial"/>
        </w:rPr>
        <w:t>de v</w:t>
      </w:r>
      <w:r w:rsidR="004F5B9B" w:rsidRPr="004F5B9B">
        <w:rPr>
          <w:rFonts w:ascii="Arial" w:hAnsi="Arial" w:cs="Arial"/>
        </w:rPr>
        <w:t>alorar la conveniencia técnica de establecer en un solo documento los elementos que deberán conformar el Marco orientador del SEVRI en el Ministerio de Hacienda</w:t>
      </w:r>
      <w:r w:rsidR="006C1B0B">
        <w:rPr>
          <w:rFonts w:ascii="Arial" w:hAnsi="Arial" w:cs="Arial"/>
        </w:rPr>
        <w:t xml:space="preserve">. </w:t>
      </w:r>
    </w:p>
    <w:p w14:paraId="190BB989" w14:textId="77777777" w:rsidR="00FB0719" w:rsidRDefault="00FB0719" w:rsidP="00E25A43">
      <w:pPr>
        <w:spacing w:after="0" w:line="240" w:lineRule="auto"/>
        <w:contextualSpacing/>
        <w:jc w:val="both"/>
        <w:rPr>
          <w:rFonts w:ascii="Arial" w:hAnsi="Arial" w:cs="Arial"/>
          <w:szCs w:val="24"/>
        </w:rPr>
      </w:pPr>
    </w:p>
    <w:p w14:paraId="51B75158" w14:textId="46572AA4" w:rsidR="007E276C" w:rsidRDefault="006C1B0B" w:rsidP="00E25A43">
      <w:pPr>
        <w:spacing w:after="0" w:line="240" w:lineRule="auto"/>
        <w:contextualSpacing/>
        <w:jc w:val="both"/>
        <w:rPr>
          <w:rFonts w:ascii="Arial" w:hAnsi="Arial" w:cs="Arial"/>
          <w:szCs w:val="24"/>
        </w:rPr>
      </w:pPr>
      <w:r>
        <w:rPr>
          <w:rFonts w:ascii="Arial" w:hAnsi="Arial" w:cs="Arial"/>
          <w:szCs w:val="24"/>
        </w:rPr>
        <w:t>Finalmente</w:t>
      </w:r>
      <w:r w:rsidR="007E276C">
        <w:rPr>
          <w:rFonts w:ascii="Arial" w:hAnsi="Arial" w:cs="Arial"/>
          <w:szCs w:val="24"/>
        </w:rPr>
        <w:t xml:space="preserve">, </w:t>
      </w:r>
      <w:r>
        <w:rPr>
          <w:rFonts w:ascii="Arial" w:hAnsi="Arial" w:cs="Arial"/>
          <w:szCs w:val="24"/>
        </w:rPr>
        <w:t>se giran recomendaciones en cuanto a</w:t>
      </w:r>
      <w:r w:rsidR="00E25A43">
        <w:rPr>
          <w:rFonts w:ascii="Arial" w:hAnsi="Arial" w:cs="Arial"/>
          <w:szCs w:val="24"/>
        </w:rPr>
        <w:t>l</w:t>
      </w:r>
      <w:r w:rsidR="00E25A43" w:rsidRPr="00E25A43">
        <w:rPr>
          <w:rFonts w:ascii="Arial" w:hAnsi="Arial" w:cs="Arial"/>
          <w:szCs w:val="24"/>
        </w:rPr>
        <w:t xml:space="preserve"> establecimiento de </w:t>
      </w:r>
      <w:r w:rsidR="007E276C" w:rsidRPr="00B31BEC">
        <w:rPr>
          <w:rFonts w:ascii="Arial" w:hAnsi="Arial" w:cs="Arial"/>
          <w:szCs w:val="24"/>
        </w:rPr>
        <w:t xml:space="preserve">una metodología de supervisión </w:t>
      </w:r>
      <w:r w:rsidR="007E276C" w:rsidRPr="00E07CBD">
        <w:rPr>
          <w:rFonts w:ascii="Arial" w:hAnsi="Arial" w:cs="Arial"/>
          <w:szCs w:val="24"/>
        </w:rPr>
        <w:t>que permita que las actividades previstas en la Guía Metodológica Valoración de Riesgo Institucional se desarrollen en los plazos y condiciones previstas</w:t>
      </w:r>
      <w:r w:rsidR="00E25A43">
        <w:rPr>
          <w:rFonts w:ascii="Arial" w:hAnsi="Arial" w:cs="Arial"/>
          <w:szCs w:val="24"/>
        </w:rPr>
        <w:t>.</w:t>
      </w:r>
      <w:r w:rsidR="007E276C">
        <w:rPr>
          <w:rFonts w:ascii="Arial" w:hAnsi="Arial" w:cs="Arial"/>
          <w:szCs w:val="24"/>
        </w:rPr>
        <w:t xml:space="preserve"> </w:t>
      </w:r>
    </w:p>
    <w:p w14:paraId="00B8880C" w14:textId="71D97C15" w:rsidR="007E276C" w:rsidRDefault="007E276C" w:rsidP="00EA49E7">
      <w:pPr>
        <w:spacing w:after="0" w:line="240" w:lineRule="auto"/>
        <w:contextualSpacing/>
        <w:jc w:val="both"/>
        <w:rPr>
          <w:rFonts w:ascii="Arial" w:hAnsi="Arial" w:cs="Arial"/>
        </w:rPr>
      </w:pPr>
    </w:p>
    <w:p w14:paraId="3F7A1E20" w14:textId="4AE28C10" w:rsidR="00FB0719" w:rsidRDefault="00FB0719" w:rsidP="00EA49E7">
      <w:pPr>
        <w:spacing w:after="0" w:line="240" w:lineRule="auto"/>
        <w:contextualSpacing/>
        <w:jc w:val="both"/>
        <w:rPr>
          <w:rFonts w:ascii="Arial" w:hAnsi="Arial" w:cs="Arial"/>
        </w:rPr>
      </w:pPr>
    </w:p>
    <w:p w14:paraId="702424DD" w14:textId="35A7376F" w:rsidR="00FB0719" w:rsidRDefault="00FB0719" w:rsidP="00EA49E7">
      <w:pPr>
        <w:spacing w:after="0" w:line="240" w:lineRule="auto"/>
        <w:contextualSpacing/>
        <w:jc w:val="both"/>
        <w:rPr>
          <w:rFonts w:ascii="Arial" w:hAnsi="Arial" w:cs="Arial"/>
        </w:rPr>
      </w:pPr>
    </w:p>
    <w:p w14:paraId="6B066E9E" w14:textId="70CEA6AC" w:rsidR="00FB0719" w:rsidRDefault="00FB0719" w:rsidP="00EA49E7">
      <w:pPr>
        <w:spacing w:after="0" w:line="240" w:lineRule="auto"/>
        <w:contextualSpacing/>
        <w:jc w:val="both"/>
        <w:rPr>
          <w:rFonts w:ascii="Arial" w:hAnsi="Arial" w:cs="Arial"/>
        </w:rPr>
      </w:pPr>
    </w:p>
    <w:p w14:paraId="42DCF751" w14:textId="3208A862" w:rsidR="00FB0719" w:rsidRDefault="00FB0719" w:rsidP="00EA49E7">
      <w:pPr>
        <w:spacing w:after="0" w:line="240" w:lineRule="auto"/>
        <w:contextualSpacing/>
        <w:jc w:val="both"/>
        <w:rPr>
          <w:rFonts w:ascii="Arial" w:hAnsi="Arial" w:cs="Arial"/>
        </w:rPr>
      </w:pPr>
    </w:p>
    <w:p w14:paraId="113075CC" w14:textId="0B23BD73" w:rsidR="00FB0719" w:rsidRDefault="00FB0719" w:rsidP="00EA49E7">
      <w:pPr>
        <w:spacing w:after="0" w:line="240" w:lineRule="auto"/>
        <w:contextualSpacing/>
        <w:jc w:val="both"/>
        <w:rPr>
          <w:rFonts w:ascii="Arial" w:hAnsi="Arial" w:cs="Arial"/>
        </w:rPr>
      </w:pPr>
    </w:p>
    <w:p w14:paraId="752789F0" w14:textId="08E3BFFD" w:rsidR="00FB0719" w:rsidRDefault="00FB0719" w:rsidP="00EA49E7">
      <w:pPr>
        <w:spacing w:after="0" w:line="240" w:lineRule="auto"/>
        <w:contextualSpacing/>
        <w:jc w:val="both"/>
        <w:rPr>
          <w:rFonts w:ascii="Arial" w:hAnsi="Arial" w:cs="Arial"/>
        </w:rPr>
      </w:pPr>
    </w:p>
    <w:p w14:paraId="244913DF" w14:textId="228C0604" w:rsidR="00FB0719" w:rsidRDefault="00FB0719" w:rsidP="00EA49E7">
      <w:pPr>
        <w:spacing w:after="0" w:line="240" w:lineRule="auto"/>
        <w:contextualSpacing/>
        <w:jc w:val="both"/>
        <w:rPr>
          <w:rFonts w:ascii="Arial" w:hAnsi="Arial" w:cs="Arial"/>
        </w:rPr>
      </w:pPr>
    </w:p>
    <w:p w14:paraId="70CF7D2D" w14:textId="63020A40" w:rsidR="00FB0719" w:rsidRDefault="00FB0719" w:rsidP="00EA49E7">
      <w:pPr>
        <w:spacing w:after="0" w:line="240" w:lineRule="auto"/>
        <w:contextualSpacing/>
        <w:jc w:val="both"/>
        <w:rPr>
          <w:rFonts w:ascii="Arial" w:hAnsi="Arial" w:cs="Arial"/>
        </w:rPr>
      </w:pPr>
    </w:p>
    <w:p w14:paraId="60503076" w14:textId="7F5FF854" w:rsidR="00FB0719" w:rsidRDefault="00FB0719" w:rsidP="00EA49E7">
      <w:pPr>
        <w:spacing w:after="0" w:line="240" w:lineRule="auto"/>
        <w:contextualSpacing/>
        <w:jc w:val="both"/>
        <w:rPr>
          <w:rFonts w:ascii="Arial" w:hAnsi="Arial" w:cs="Arial"/>
        </w:rPr>
      </w:pPr>
    </w:p>
    <w:p w14:paraId="1FC6AA13" w14:textId="2377629C" w:rsidR="00FB0719" w:rsidRDefault="00FB0719" w:rsidP="00EA49E7">
      <w:pPr>
        <w:spacing w:after="0" w:line="240" w:lineRule="auto"/>
        <w:contextualSpacing/>
        <w:jc w:val="both"/>
        <w:rPr>
          <w:rFonts w:ascii="Arial" w:hAnsi="Arial" w:cs="Arial"/>
        </w:rPr>
      </w:pPr>
    </w:p>
    <w:p w14:paraId="360ECDFE" w14:textId="71016283" w:rsidR="00FB0719" w:rsidRDefault="00FB0719" w:rsidP="00EA49E7">
      <w:pPr>
        <w:spacing w:after="0" w:line="240" w:lineRule="auto"/>
        <w:contextualSpacing/>
        <w:jc w:val="both"/>
        <w:rPr>
          <w:rFonts w:ascii="Arial" w:hAnsi="Arial" w:cs="Arial"/>
        </w:rPr>
      </w:pPr>
    </w:p>
    <w:p w14:paraId="5D2D223D" w14:textId="278778AB" w:rsidR="00FB0719" w:rsidRDefault="00FB0719" w:rsidP="00EA49E7">
      <w:pPr>
        <w:spacing w:after="0" w:line="240" w:lineRule="auto"/>
        <w:contextualSpacing/>
        <w:jc w:val="both"/>
        <w:rPr>
          <w:rFonts w:ascii="Arial" w:hAnsi="Arial" w:cs="Arial"/>
        </w:rPr>
      </w:pPr>
    </w:p>
    <w:p w14:paraId="132D114A" w14:textId="42FCFD34" w:rsidR="00FB0719" w:rsidRDefault="00FB0719" w:rsidP="00EA49E7">
      <w:pPr>
        <w:spacing w:after="0" w:line="240" w:lineRule="auto"/>
        <w:contextualSpacing/>
        <w:jc w:val="both"/>
        <w:rPr>
          <w:rFonts w:ascii="Arial" w:hAnsi="Arial" w:cs="Arial"/>
        </w:rPr>
      </w:pPr>
    </w:p>
    <w:p w14:paraId="7E8A8C01" w14:textId="2429F395" w:rsidR="00FB0719" w:rsidRDefault="00FB0719" w:rsidP="00EA49E7">
      <w:pPr>
        <w:spacing w:after="0" w:line="240" w:lineRule="auto"/>
        <w:contextualSpacing/>
        <w:jc w:val="both"/>
        <w:rPr>
          <w:rFonts w:ascii="Arial" w:hAnsi="Arial" w:cs="Arial"/>
        </w:rPr>
      </w:pPr>
    </w:p>
    <w:p w14:paraId="78726049" w14:textId="56E4C375" w:rsidR="00FB0719" w:rsidRDefault="00FB0719" w:rsidP="00EA49E7">
      <w:pPr>
        <w:spacing w:after="0" w:line="240" w:lineRule="auto"/>
        <w:contextualSpacing/>
        <w:jc w:val="both"/>
        <w:rPr>
          <w:rFonts w:ascii="Arial" w:hAnsi="Arial" w:cs="Arial"/>
        </w:rPr>
      </w:pPr>
    </w:p>
    <w:p w14:paraId="212B51EC" w14:textId="15F28C39" w:rsidR="00FB0719" w:rsidRDefault="00FB0719" w:rsidP="00EA49E7">
      <w:pPr>
        <w:spacing w:after="0" w:line="240" w:lineRule="auto"/>
        <w:contextualSpacing/>
        <w:jc w:val="both"/>
        <w:rPr>
          <w:rFonts w:ascii="Arial" w:hAnsi="Arial" w:cs="Arial"/>
        </w:rPr>
      </w:pPr>
    </w:p>
    <w:p w14:paraId="14FA371C" w14:textId="5E20DCD3" w:rsidR="00FB0719" w:rsidRDefault="00FB0719" w:rsidP="00EA49E7">
      <w:pPr>
        <w:spacing w:after="0" w:line="240" w:lineRule="auto"/>
        <w:contextualSpacing/>
        <w:jc w:val="both"/>
        <w:rPr>
          <w:rFonts w:ascii="Arial" w:hAnsi="Arial" w:cs="Arial"/>
        </w:rPr>
      </w:pPr>
    </w:p>
    <w:p w14:paraId="2DC47893" w14:textId="655264C9" w:rsidR="00FB0719" w:rsidRDefault="00FB0719" w:rsidP="00EA49E7">
      <w:pPr>
        <w:spacing w:after="0" w:line="240" w:lineRule="auto"/>
        <w:contextualSpacing/>
        <w:jc w:val="both"/>
        <w:rPr>
          <w:rFonts w:ascii="Arial" w:hAnsi="Arial" w:cs="Arial"/>
        </w:rPr>
      </w:pPr>
    </w:p>
    <w:p w14:paraId="24F15481" w14:textId="59439867" w:rsidR="00FB0719" w:rsidRDefault="00FB0719" w:rsidP="00EA49E7">
      <w:pPr>
        <w:spacing w:after="0" w:line="240" w:lineRule="auto"/>
        <w:contextualSpacing/>
        <w:jc w:val="both"/>
        <w:rPr>
          <w:rFonts w:ascii="Arial" w:hAnsi="Arial" w:cs="Arial"/>
        </w:rPr>
      </w:pPr>
    </w:p>
    <w:p w14:paraId="113A8276" w14:textId="0CAB9095" w:rsidR="00FB0719" w:rsidRDefault="00FB0719" w:rsidP="00EA49E7">
      <w:pPr>
        <w:spacing w:after="0" w:line="240" w:lineRule="auto"/>
        <w:contextualSpacing/>
        <w:jc w:val="both"/>
        <w:rPr>
          <w:rFonts w:ascii="Arial" w:hAnsi="Arial" w:cs="Arial"/>
        </w:rPr>
      </w:pPr>
    </w:p>
    <w:p w14:paraId="2CD661F2" w14:textId="37785522" w:rsidR="00FB0719" w:rsidRDefault="00FB0719" w:rsidP="00EA49E7">
      <w:pPr>
        <w:spacing w:after="0" w:line="240" w:lineRule="auto"/>
        <w:contextualSpacing/>
        <w:jc w:val="both"/>
        <w:rPr>
          <w:rFonts w:ascii="Arial" w:hAnsi="Arial" w:cs="Arial"/>
        </w:rPr>
      </w:pPr>
    </w:p>
    <w:p w14:paraId="1E66D97D" w14:textId="6AB2459B" w:rsidR="00FB0719" w:rsidRDefault="00FB0719" w:rsidP="00EA49E7">
      <w:pPr>
        <w:spacing w:after="0" w:line="240" w:lineRule="auto"/>
        <w:contextualSpacing/>
        <w:jc w:val="both"/>
        <w:rPr>
          <w:rFonts w:ascii="Arial" w:hAnsi="Arial" w:cs="Arial"/>
        </w:rPr>
      </w:pPr>
    </w:p>
    <w:p w14:paraId="54254A29" w14:textId="359AF497" w:rsidR="00FB0719" w:rsidRDefault="00FB0719" w:rsidP="00EA49E7">
      <w:pPr>
        <w:spacing w:after="0" w:line="240" w:lineRule="auto"/>
        <w:contextualSpacing/>
        <w:jc w:val="both"/>
        <w:rPr>
          <w:rFonts w:ascii="Arial" w:hAnsi="Arial" w:cs="Arial"/>
        </w:rPr>
      </w:pPr>
    </w:p>
    <w:p w14:paraId="14A61BB3" w14:textId="43816982" w:rsidR="00FB0719" w:rsidRDefault="00FB0719" w:rsidP="00EA49E7">
      <w:pPr>
        <w:spacing w:after="0" w:line="240" w:lineRule="auto"/>
        <w:contextualSpacing/>
        <w:jc w:val="both"/>
        <w:rPr>
          <w:rFonts w:ascii="Arial" w:hAnsi="Arial" w:cs="Arial"/>
        </w:rPr>
      </w:pPr>
    </w:p>
    <w:p w14:paraId="56B98501" w14:textId="26305CF8" w:rsidR="00FB0719" w:rsidRDefault="00FB0719" w:rsidP="00EA49E7">
      <w:pPr>
        <w:spacing w:after="0" w:line="240" w:lineRule="auto"/>
        <w:contextualSpacing/>
        <w:jc w:val="both"/>
        <w:rPr>
          <w:rFonts w:ascii="Arial" w:hAnsi="Arial" w:cs="Arial"/>
        </w:rPr>
      </w:pPr>
    </w:p>
    <w:p w14:paraId="286B5543" w14:textId="38B2A389" w:rsidR="00FB0719" w:rsidRDefault="00FB0719" w:rsidP="00EA49E7">
      <w:pPr>
        <w:spacing w:after="0" w:line="240" w:lineRule="auto"/>
        <w:contextualSpacing/>
        <w:jc w:val="both"/>
        <w:rPr>
          <w:rFonts w:ascii="Arial" w:hAnsi="Arial" w:cs="Arial"/>
        </w:rPr>
      </w:pPr>
    </w:p>
    <w:p w14:paraId="3838A173" w14:textId="6F969B15" w:rsidR="00FB0719" w:rsidRDefault="00FB0719" w:rsidP="00EA49E7">
      <w:pPr>
        <w:spacing w:after="0" w:line="240" w:lineRule="auto"/>
        <w:contextualSpacing/>
        <w:jc w:val="both"/>
        <w:rPr>
          <w:rFonts w:ascii="Arial" w:hAnsi="Arial" w:cs="Arial"/>
        </w:rPr>
      </w:pPr>
    </w:p>
    <w:p w14:paraId="7FC85A74" w14:textId="44430EA6" w:rsidR="00FB0719" w:rsidRDefault="00FB0719" w:rsidP="00EA49E7">
      <w:pPr>
        <w:spacing w:after="0" w:line="240" w:lineRule="auto"/>
        <w:contextualSpacing/>
        <w:jc w:val="both"/>
        <w:rPr>
          <w:rFonts w:ascii="Arial" w:hAnsi="Arial" w:cs="Arial"/>
        </w:rPr>
      </w:pPr>
    </w:p>
    <w:p w14:paraId="5B95CF8B" w14:textId="1D47EE26" w:rsidR="00FB0719" w:rsidRDefault="00FB0719" w:rsidP="00EA49E7">
      <w:pPr>
        <w:spacing w:after="0" w:line="240" w:lineRule="auto"/>
        <w:contextualSpacing/>
        <w:jc w:val="both"/>
        <w:rPr>
          <w:rFonts w:ascii="Arial" w:hAnsi="Arial" w:cs="Arial"/>
        </w:rPr>
      </w:pPr>
    </w:p>
    <w:p w14:paraId="6B87FBCC" w14:textId="5AD3B2B3" w:rsidR="00FB0719" w:rsidRDefault="00FB0719" w:rsidP="00EA49E7">
      <w:pPr>
        <w:spacing w:after="0" w:line="240" w:lineRule="auto"/>
        <w:contextualSpacing/>
        <w:jc w:val="both"/>
        <w:rPr>
          <w:rFonts w:ascii="Arial" w:hAnsi="Arial" w:cs="Arial"/>
        </w:rPr>
      </w:pPr>
    </w:p>
    <w:p w14:paraId="067B64F5" w14:textId="46DCBC02" w:rsidR="00FB0719" w:rsidRDefault="00FB0719" w:rsidP="00EA49E7">
      <w:pPr>
        <w:spacing w:after="0" w:line="240" w:lineRule="auto"/>
        <w:contextualSpacing/>
        <w:jc w:val="both"/>
        <w:rPr>
          <w:rFonts w:ascii="Arial" w:hAnsi="Arial" w:cs="Arial"/>
        </w:rPr>
      </w:pPr>
    </w:p>
    <w:p w14:paraId="1D256AA0" w14:textId="3F78440E" w:rsidR="00FB0719" w:rsidRDefault="00FB0719" w:rsidP="00EA49E7">
      <w:pPr>
        <w:spacing w:after="0" w:line="240" w:lineRule="auto"/>
        <w:contextualSpacing/>
        <w:jc w:val="both"/>
        <w:rPr>
          <w:rFonts w:ascii="Arial" w:hAnsi="Arial" w:cs="Arial"/>
        </w:rPr>
      </w:pPr>
    </w:p>
    <w:p w14:paraId="03D7B551" w14:textId="05538AF1" w:rsidR="00FB0719" w:rsidRDefault="00FB0719" w:rsidP="00EA49E7">
      <w:pPr>
        <w:spacing w:after="0" w:line="240" w:lineRule="auto"/>
        <w:contextualSpacing/>
        <w:jc w:val="both"/>
        <w:rPr>
          <w:rFonts w:ascii="Arial" w:hAnsi="Arial" w:cs="Arial"/>
        </w:rPr>
      </w:pPr>
    </w:p>
    <w:p w14:paraId="710600F6" w14:textId="0E5FCD2A" w:rsidR="00FB0719" w:rsidRDefault="00FB0719" w:rsidP="00EA49E7">
      <w:pPr>
        <w:spacing w:after="0" w:line="240" w:lineRule="auto"/>
        <w:contextualSpacing/>
        <w:jc w:val="both"/>
        <w:rPr>
          <w:rFonts w:ascii="Arial" w:hAnsi="Arial" w:cs="Arial"/>
        </w:rPr>
      </w:pPr>
    </w:p>
    <w:p w14:paraId="0C4E7809" w14:textId="395FB874" w:rsidR="00FB0719" w:rsidRDefault="00FB0719" w:rsidP="00EA49E7">
      <w:pPr>
        <w:spacing w:after="0" w:line="240" w:lineRule="auto"/>
        <w:contextualSpacing/>
        <w:jc w:val="both"/>
        <w:rPr>
          <w:rFonts w:ascii="Arial" w:hAnsi="Arial" w:cs="Arial"/>
        </w:rPr>
      </w:pPr>
    </w:p>
    <w:p w14:paraId="2834030C" w14:textId="77777777" w:rsidR="00FB0719" w:rsidRDefault="00FB0719" w:rsidP="00EA49E7">
      <w:pPr>
        <w:spacing w:after="0" w:line="240" w:lineRule="auto"/>
        <w:contextualSpacing/>
        <w:jc w:val="both"/>
        <w:rPr>
          <w:rFonts w:ascii="Arial" w:hAnsi="Arial" w:cs="Arial"/>
        </w:rPr>
      </w:pPr>
    </w:p>
    <w:p w14:paraId="4247D720" w14:textId="77777777" w:rsidR="005F043B" w:rsidRDefault="005F043B" w:rsidP="00EA49E7">
      <w:pPr>
        <w:spacing w:after="0" w:line="240" w:lineRule="auto"/>
        <w:contextualSpacing/>
        <w:jc w:val="both"/>
        <w:rPr>
          <w:rFonts w:ascii="Arial" w:hAnsi="Arial" w:cs="Arial"/>
        </w:rPr>
      </w:pPr>
    </w:p>
    <w:p w14:paraId="5914CB41" w14:textId="77777777" w:rsidR="00EA49E7" w:rsidRPr="00BA1863" w:rsidRDefault="00EA49E7" w:rsidP="00EA49E7">
      <w:pPr>
        <w:pStyle w:val="Ttulo1"/>
        <w:keepNext w:val="0"/>
        <w:keepLines w:val="0"/>
        <w:numPr>
          <w:ilvl w:val="0"/>
          <w:numId w:val="19"/>
        </w:numPr>
        <w:spacing w:before="0" w:after="0"/>
        <w:ind w:left="576" w:right="51" w:hanging="576"/>
        <w:contextualSpacing/>
        <w:jc w:val="both"/>
        <w:rPr>
          <w:rFonts w:ascii="Arial" w:hAnsi="Arial" w:cs="Arial"/>
          <w:b/>
          <w:bCs/>
          <w:color w:val="44546A" w:themeColor="text2"/>
          <w:kern w:val="28"/>
          <w:sz w:val="28"/>
          <w:szCs w:val="28"/>
          <w:lang w:eastAsia="es-ES"/>
        </w:rPr>
      </w:pPr>
      <w:bookmarkStart w:id="7" w:name="_Toc121986951"/>
      <w:bookmarkStart w:id="8" w:name="_Toc125702625"/>
      <w:r w:rsidRPr="00BA1863">
        <w:rPr>
          <w:rFonts w:ascii="Arial" w:hAnsi="Arial" w:cs="Arial"/>
          <w:b/>
          <w:bCs/>
          <w:color w:val="44546A" w:themeColor="text2"/>
          <w:kern w:val="28"/>
          <w:sz w:val="28"/>
          <w:szCs w:val="28"/>
          <w:lang w:eastAsia="es-ES"/>
        </w:rPr>
        <w:lastRenderedPageBreak/>
        <w:t>INTRODUCCIÓN</w:t>
      </w:r>
      <w:bookmarkEnd w:id="7"/>
      <w:bookmarkEnd w:id="8"/>
    </w:p>
    <w:p w14:paraId="0DC65FBF" w14:textId="77777777" w:rsidR="00EA49E7" w:rsidRPr="0024124B" w:rsidRDefault="00EA49E7" w:rsidP="00EA49E7">
      <w:pPr>
        <w:spacing w:after="0" w:line="240" w:lineRule="auto"/>
        <w:contextualSpacing/>
        <w:rPr>
          <w:lang w:eastAsia="es-ES"/>
        </w:rPr>
      </w:pPr>
    </w:p>
    <w:p w14:paraId="0E53E1C8" w14:textId="77777777" w:rsidR="00EA49E7" w:rsidRPr="00A136E4"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9" w:name="_Toc121986952"/>
      <w:bookmarkStart w:id="10" w:name="_Toc125702626"/>
      <w:r w:rsidRPr="00A136E4">
        <w:rPr>
          <w:rFonts w:ascii="Arial" w:hAnsi="Arial" w:cs="Arial"/>
          <w:b/>
          <w:color w:val="17365D"/>
          <w:sz w:val="24"/>
          <w:szCs w:val="24"/>
        </w:rPr>
        <w:t>Origen</w:t>
      </w:r>
      <w:bookmarkEnd w:id="9"/>
      <w:bookmarkEnd w:id="10"/>
    </w:p>
    <w:p w14:paraId="43095C65" w14:textId="77777777" w:rsidR="00EA49E7" w:rsidRDefault="00EA49E7" w:rsidP="00EA49E7">
      <w:pPr>
        <w:spacing w:after="0" w:line="240" w:lineRule="auto"/>
        <w:contextualSpacing/>
        <w:jc w:val="both"/>
        <w:rPr>
          <w:rFonts w:ascii="Arial" w:hAnsi="Arial" w:cs="Arial"/>
          <w:sz w:val="24"/>
          <w:szCs w:val="24"/>
        </w:rPr>
      </w:pPr>
    </w:p>
    <w:p w14:paraId="592A6502" w14:textId="77777777" w:rsidR="00EA49E7" w:rsidRPr="0057432A" w:rsidRDefault="00EA49E7" w:rsidP="00EA49E7">
      <w:pPr>
        <w:spacing w:after="0" w:line="240" w:lineRule="auto"/>
        <w:contextualSpacing/>
        <w:jc w:val="both"/>
        <w:rPr>
          <w:rFonts w:ascii="Arial" w:hAnsi="Arial" w:cs="Arial"/>
        </w:rPr>
      </w:pPr>
      <w:r w:rsidRPr="00F020E4">
        <w:rPr>
          <w:rFonts w:ascii="Arial" w:hAnsi="Arial" w:cs="Arial"/>
        </w:rPr>
        <w:t>El presente estudio se realizó de conformidad con el Plan de Trabajo Anual 2022, de la Auditoría Interna del Ministerio de Hacienda.</w:t>
      </w:r>
    </w:p>
    <w:p w14:paraId="4A71E128" w14:textId="77777777" w:rsidR="00EA49E7" w:rsidRPr="0043627B" w:rsidRDefault="00EA49E7" w:rsidP="00EA49E7">
      <w:pPr>
        <w:spacing w:after="0" w:line="240" w:lineRule="auto"/>
        <w:contextualSpacing/>
        <w:rPr>
          <w:rFonts w:ascii="Arial" w:hAnsi="Arial" w:cs="Arial"/>
          <w:sz w:val="24"/>
          <w:szCs w:val="24"/>
        </w:rPr>
      </w:pPr>
    </w:p>
    <w:p w14:paraId="0DD796CC" w14:textId="3B064003" w:rsidR="00EA49E7" w:rsidRPr="00FB0719"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11" w:name="_Toc390783324"/>
      <w:bookmarkStart w:id="12" w:name="_Toc121986953"/>
      <w:bookmarkStart w:id="13" w:name="_Toc125702627"/>
      <w:r w:rsidRPr="00FB0719">
        <w:rPr>
          <w:rFonts w:ascii="Arial" w:hAnsi="Arial" w:cs="Arial"/>
          <w:b/>
          <w:color w:val="17365D"/>
          <w:sz w:val="24"/>
          <w:szCs w:val="24"/>
        </w:rPr>
        <w:t xml:space="preserve">Objetivo </w:t>
      </w:r>
      <w:r w:rsidR="00FB0719">
        <w:rPr>
          <w:rFonts w:ascii="Arial" w:hAnsi="Arial" w:cs="Arial"/>
          <w:b/>
          <w:color w:val="17365D"/>
          <w:sz w:val="24"/>
          <w:szCs w:val="24"/>
        </w:rPr>
        <w:t xml:space="preserve">específico </w:t>
      </w:r>
      <w:r w:rsidRPr="00FB0719">
        <w:rPr>
          <w:rFonts w:ascii="Arial" w:hAnsi="Arial" w:cs="Arial"/>
          <w:b/>
          <w:color w:val="17365D"/>
          <w:sz w:val="24"/>
          <w:szCs w:val="24"/>
        </w:rPr>
        <w:t>del estudio</w:t>
      </w:r>
      <w:bookmarkEnd w:id="11"/>
      <w:bookmarkEnd w:id="12"/>
      <w:bookmarkEnd w:id="13"/>
    </w:p>
    <w:p w14:paraId="22C0CCBA" w14:textId="77777777" w:rsidR="00EA49E7" w:rsidRPr="00FB0719" w:rsidRDefault="00EA49E7" w:rsidP="00EA49E7">
      <w:pPr>
        <w:spacing w:after="0" w:line="240" w:lineRule="auto"/>
        <w:contextualSpacing/>
        <w:jc w:val="both"/>
        <w:rPr>
          <w:rFonts w:ascii="Arial" w:hAnsi="Arial" w:cs="Arial"/>
          <w:sz w:val="24"/>
        </w:rPr>
      </w:pPr>
      <w:bookmarkStart w:id="14" w:name="_Toc390783325"/>
    </w:p>
    <w:p w14:paraId="597AD363" w14:textId="77777777" w:rsidR="00EA49E7" w:rsidRDefault="00F020E4" w:rsidP="00EA49E7">
      <w:pPr>
        <w:spacing w:after="0" w:line="240" w:lineRule="auto"/>
        <w:contextualSpacing/>
        <w:jc w:val="both"/>
        <w:rPr>
          <w:rFonts w:ascii="Arial" w:hAnsi="Arial" w:cs="Arial"/>
        </w:rPr>
      </w:pPr>
      <w:bookmarkStart w:id="15" w:name="_Hlk121034477"/>
      <w:bookmarkStart w:id="16" w:name="_Hlk106184105"/>
      <w:bookmarkStart w:id="17" w:name="_Hlk115938502"/>
      <w:r w:rsidRPr="00FB0719">
        <w:rPr>
          <w:rFonts w:ascii="Arial" w:hAnsi="Arial" w:cs="Arial"/>
        </w:rPr>
        <w:t>Verificar si la Dirección de Planificación Institucional ha establecido controles válidos y suficientes para revisar y actualizar la metodología del SEVRI.</w:t>
      </w:r>
    </w:p>
    <w:bookmarkEnd w:id="15"/>
    <w:p w14:paraId="580C524F" w14:textId="4F948378" w:rsidR="00EA49E7" w:rsidRDefault="00EA49E7" w:rsidP="00EA49E7">
      <w:pPr>
        <w:spacing w:after="0" w:line="240" w:lineRule="auto"/>
        <w:contextualSpacing/>
        <w:jc w:val="both"/>
        <w:rPr>
          <w:rFonts w:ascii="Arial" w:hAnsi="Arial" w:cs="Arial"/>
        </w:rPr>
      </w:pPr>
    </w:p>
    <w:p w14:paraId="6BBE7644" w14:textId="77777777" w:rsidR="00EA49E7"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18" w:name="_Toc121986954"/>
      <w:bookmarkStart w:id="19" w:name="_Toc125702628"/>
      <w:bookmarkEnd w:id="16"/>
      <w:bookmarkEnd w:id="17"/>
      <w:r w:rsidRPr="00A136E4">
        <w:rPr>
          <w:rFonts w:ascii="Arial" w:hAnsi="Arial" w:cs="Arial"/>
          <w:b/>
          <w:color w:val="17365D"/>
          <w:sz w:val="24"/>
          <w:szCs w:val="24"/>
        </w:rPr>
        <w:t>Alcance</w:t>
      </w:r>
      <w:bookmarkEnd w:id="14"/>
      <w:bookmarkEnd w:id="18"/>
      <w:bookmarkEnd w:id="19"/>
    </w:p>
    <w:p w14:paraId="04CBF92E" w14:textId="77777777" w:rsidR="00EA49E7" w:rsidRPr="005210DF" w:rsidRDefault="00EA49E7" w:rsidP="00EA49E7">
      <w:pPr>
        <w:spacing w:after="0" w:line="240" w:lineRule="auto"/>
        <w:contextualSpacing/>
      </w:pPr>
    </w:p>
    <w:p w14:paraId="20231189" w14:textId="77777777" w:rsidR="00EA49E7" w:rsidRDefault="00EA49E7" w:rsidP="00EA49E7">
      <w:pPr>
        <w:spacing w:after="0" w:line="240" w:lineRule="auto"/>
        <w:contextualSpacing/>
        <w:jc w:val="both"/>
        <w:rPr>
          <w:rFonts w:ascii="Arial" w:hAnsi="Arial" w:cs="Arial"/>
        </w:rPr>
      </w:pPr>
      <w:bookmarkStart w:id="20" w:name="_Toc390783326"/>
      <w:r w:rsidRPr="00353706">
        <w:rPr>
          <w:rFonts w:ascii="Arial" w:hAnsi="Arial" w:cs="Arial"/>
        </w:rPr>
        <w:t>Comprende</w:t>
      </w:r>
      <w:r w:rsidR="0091102D" w:rsidRPr="0091102D">
        <w:rPr>
          <w:rFonts w:ascii="Arial" w:hAnsi="Arial" w:cs="Arial"/>
        </w:rPr>
        <w:t xml:space="preserve"> la revisión de </w:t>
      </w:r>
      <w:r w:rsidR="001A18A3">
        <w:rPr>
          <w:rFonts w:ascii="Arial" w:hAnsi="Arial" w:cs="Arial"/>
        </w:rPr>
        <w:t xml:space="preserve">los </w:t>
      </w:r>
      <w:r w:rsidR="0091102D" w:rsidRPr="0091102D">
        <w:rPr>
          <w:rFonts w:ascii="Arial" w:hAnsi="Arial" w:cs="Arial"/>
        </w:rPr>
        <w:t>control</w:t>
      </w:r>
      <w:r w:rsidR="001A18A3">
        <w:rPr>
          <w:rFonts w:ascii="Arial" w:hAnsi="Arial" w:cs="Arial"/>
        </w:rPr>
        <w:t>es</w:t>
      </w:r>
      <w:r w:rsidR="0091102D" w:rsidRPr="0091102D">
        <w:rPr>
          <w:rFonts w:ascii="Arial" w:hAnsi="Arial" w:cs="Arial"/>
        </w:rPr>
        <w:t xml:space="preserve"> establecidas por la Dirección de Planificación Institucional, específicamente sobre la actualización de la metodología del SEVRI, inclusión de procesos críticos y actividades estratégicas y toma de decisiones. </w:t>
      </w:r>
      <w:bookmarkStart w:id="21" w:name="_Hlk124853275"/>
      <w:r w:rsidR="0091102D" w:rsidRPr="0091102D">
        <w:rPr>
          <w:rFonts w:ascii="Arial" w:hAnsi="Arial" w:cs="Arial"/>
        </w:rPr>
        <w:t>Para el periodo de enero</w:t>
      </w:r>
      <w:r w:rsidR="0091102D">
        <w:rPr>
          <w:rFonts w:ascii="Arial" w:hAnsi="Arial" w:cs="Arial"/>
        </w:rPr>
        <w:t xml:space="preserve"> </w:t>
      </w:r>
      <w:r w:rsidR="0091102D" w:rsidRPr="0091102D">
        <w:rPr>
          <w:rFonts w:ascii="Arial" w:hAnsi="Arial" w:cs="Arial"/>
        </w:rPr>
        <w:t>2022 al 31 octubre 2022, extendiéndose cuando se considere necesario.</w:t>
      </w:r>
    </w:p>
    <w:bookmarkEnd w:id="21"/>
    <w:p w14:paraId="7C64749B" w14:textId="79D29219" w:rsidR="00EA49E7" w:rsidRDefault="00EA49E7" w:rsidP="00EA49E7">
      <w:pPr>
        <w:spacing w:after="0" w:line="240" w:lineRule="auto"/>
        <w:contextualSpacing/>
        <w:jc w:val="both"/>
        <w:rPr>
          <w:rFonts w:ascii="Arial" w:hAnsi="Arial" w:cs="Arial"/>
        </w:rPr>
      </w:pPr>
    </w:p>
    <w:p w14:paraId="34DA5539" w14:textId="77777777" w:rsidR="00EA49E7" w:rsidRPr="00A136E4"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22" w:name="_Toc121986955"/>
      <w:bookmarkStart w:id="23" w:name="_Toc125702629"/>
      <w:r w:rsidRPr="00A136E4">
        <w:rPr>
          <w:rFonts w:ascii="Arial" w:hAnsi="Arial" w:cs="Arial"/>
          <w:b/>
          <w:color w:val="17365D"/>
          <w:sz w:val="24"/>
          <w:szCs w:val="24"/>
        </w:rPr>
        <w:t>Criterios de evaluación</w:t>
      </w:r>
      <w:bookmarkEnd w:id="22"/>
      <w:bookmarkEnd w:id="23"/>
    </w:p>
    <w:p w14:paraId="37042960"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sz w:val="24"/>
          <w:szCs w:val="24"/>
        </w:rPr>
      </w:pPr>
    </w:p>
    <w:p w14:paraId="35B40E29" w14:textId="77777777" w:rsidR="00EA49E7" w:rsidRDefault="00EA49E7" w:rsidP="00F020E4">
      <w:pPr>
        <w:autoSpaceDE w:val="0"/>
        <w:autoSpaceDN w:val="0"/>
        <w:adjustRightInd w:val="0"/>
        <w:spacing w:after="0" w:line="240" w:lineRule="auto"/>
        <w:contextualSpacing/>
        <w:jc w:val="both"/>
        <w:rPr>
          <w:rFonts w:ascii="Arial" w:hAnsi="Arial" w:cs="Arial"/>
        </w:rPr>
      </w:pPr>
      <w:r w:rsidRPr="00F020E4">
        <w:rPr>
          <w:rFonts w:ascii="Arial" w:eastAsia="Times New Roman" w:hAnsi="Arial" w:cs="Arial"/>
          <w:color w:val="000000"/>
        </w:rPr>
        <w:t xml:space="preserve">Los criterios de evaluación </w:t>
      </w:r>
      <w:r w:rsidRPr="00F020E4">
        <w:rPr>
          <w:rFonts w:ascii="Arial" w:hAnsi="Arial" w:cs="Arial"/>
        </w:rPr>
        <w:t xml:space="preserve">fueron comunicados el </w:t>
      </w:r>
      <w:r w:rsidR="00F020E4" w:rsidRPr="00F020E4">
        <w:rPr>
          <w:rFonts w:ascii="Arial" w:hAnsi="Arial" w:cs="Arial"/>
        </w:rPr>
        <w:t>28 de noviembre de 2022</w:t>
      </w:r>
      <w:r w:rsidRPr="00F020E4">
        <w:rPr>
          <w:rFonts w:ascii="Arial" w:hAnsi="Arial" w:cs="Arial"/>
        </w:rPr>
        <w:t xml:space="preserve">, </w:t>
      </w:r>
      <w:bookmarkStart w:id="24" w:name="_Hlk87342437"/>
      <w:r w:rsidR="00F020E4" w:rsidRPr="00F020E4">
        <w:rPr>
          <w:rFonts w:ascii="Arial" w:eastAsia="Times New Roman" w:hAnsi="Arial" w:cs="Arial"/>
        </w:rPr>
        <w:t>al señor Vladimir Villalobos González, Jefe de despacho, Despacho del Ministro</w:t>
      </w:r>
      <w:r w:rsidR="00F020E4" w:rsidRPr="00F020E4">
        <w:rPr>
          <w:rFonts w:ascii="Arial" w:hAnsi="Arial" w:cs="Arial"/>
        </w:rPr>
        <w:t xml:space="preserve"> y </w:t>
      </w:r>
      <w:r w:rsidRPr="00F020E4">
        <w:rPr>
          <w:rFonts w:ascii="Arial" w:hAnsi="Arial" w:cs="Arial"/>
        </w:rPr>
        <w:t xml:space="preserve">a </w:t>
      </w:r>
      <w:bookmarkStart w:id="25" w:name="_Hlk120615542"/>
      <w:r w:rsidRPr="00F020E4">
        <w:rPr>
          <w:rFonts w:ascii="Arial" w:hAnsi="Arial" w:cs="Arial"/>
        </w:rPr>
        <w:t xml:space="preserve">la </w:t>
      </w:r>
      <w:bookmarkEnd w:id="24"/>
      <w:r w:rsidRPr="00F020E4">
        <w:rPr>
          <w:rFonts w:ascii="Arial" w:hAnsi="Arial" w:cs="Arial"/>
        </w:rPr>
        <w:t xml:space="preserve">señora </w:t>
      </w:r>
      <w:bookmarkEnd w:id="25"/>
      <w:r w:rsidR="00F020E4" w:rsidRPr="00F020E4">
        <w:rPr>
          <w:rFonts w:ascii="Arial" w:hAnsi="Arial" w:cs="Arial"/>
        </w:rPr>
        <w:t>Celia White Ward, Directora de la Dirección de Planificación Institucional.</w:t>
      </w:r>
    </w:p>
    <w:p w14:paraId="578FFCE8" w14:textId="77777777" w:rsidR="00F020E4" w:rsidRPr="00F52467" w:rsidRDefault="00F020E4" w:rsidP="00F020E4">
      <w:pPr>
        <w:autoSpaceDE w:val="0"/>
        <w:autoSpaceDN w:val="0"/>
        <w:adjustRightInd w:val="0"/>
        <w:spacing w:after="0" w:line="240" w:lineRule="auto"/>
        <w:contextualSpacing/>
        <w:jc w:val="both"/>
        <w:rPr>
          <w:rFonts w:ascii="Arial" w:hAnsi="Arial" w:cs="Arial"/>
          <w:highlight w:val="yellow"/>
        </w:rPr>
      </w:pPr>
    </w:p>
    <w:p w14:paraId="49E62B18" w14:textId="77777777" w:rsidR="00EA49E7" w:rsidRDefault="00EA49E7" w:rsidP="00F020E4">
      <w:pPr>
        <w:autoSpaceDE w:val="0"/>
        <w:autoSpaceDN w:val="0"/>
        <w:adjustRightInd w:val="0"/>
        <w:spacing w:after="0" w:line="240" w:lineRule="auto"/>
        <w:contextualSpacing/>
        <w:jc w:val="both"/>
        <w:rPr>
          <w:rFonts w:ascii="Arial" w:hAnsi="Arial" w:cs="Arial"/>
        </w:rPr>
      </w:pPr>
      <w:r w:rsidRPr="00F020E4">
        <w:rPr>
          <w:rFonts w:ascii="Arial" w:hAnsi="Arial" w:cs="Arial"/>
        </w:rPr>
        <w:t xml:space="preserve">Entre los criterios señalados se encuentran los siguientes: </w:t>
      </w:r>
      <w:r w:rsidR="00F020E4" w:rsidRPr="00F020E4">
        <w:rPr>
          <w:rFonts w:ascii="Arial" w:hAnsi="Arial" w:cs="Arial"/>
        </w:rPr>
        <w:t>las Normas de Control Interno para el Sector Público (N-2-2009-CO-DFOE), Resolución N°64 del 01/07/2005. “Directrices Generales para el Establecimiento y Funcionamiento del Sistema Específico de Valoración del Riesgo Institucional (SEVRI), CGR</w:t>
      </w:r>
      <w:r w:rsidR="00F020E4">
        <w:rPr>
          <w:rFonts w:ascii="Arial" w:hAnsi="Arial" w:cs="Arial"/>
        </w:rPr>
        <w:t xml:space="preserve">, </w:t>
      </w:r>
      <w:r w:rsidR="00F020E4" w:rsidRPr="00F020E4">
        <w:rPr>
          <w:rFonts w:ascii="Arial" w:hAnsi="Arial" w:cs="Arial"/>
        </w:rPr>
        <w:t>Directriz 002-2015 del 24 de agosto de 2015, “Directriz para la aplicación de la Ley de Control Interno, Normas de Control Interno y Actividades del Sistema Específico de Valoración de Riesgo Institucional para el Ministerio de Hacienda”</w:t>
      </w:r>
      <w:r w:rsidR="00F020E4">
        <w:rPr>
          <w:rFonts w:ascii="Arial" w:hAnsi="Arial" w:cs="Arial"/>
        </w:rPr>
        <w:t xml:space="preserve">, </w:t>
      </w:r>
      <w:r w:rsidR="00F020E4" w:rsidRPr="00F020E4">
        <w:rPr>
          <w:rFonts w:ascii="Arial" w:hAnsi="Arial" w:cs="Arial"/>
        </w:rPr>
        <w:t>Marco Integrado de Control Interno, COSO 2013</w:t>
      </w:r>
      <w:r w:rsidR="00F020E4">
        <w:rPr>
          <w:rFonts w:ascii="Arial" w:hAnsi="Arial" w:cs="Arial"/>
        </w:rPr>
        <w:t xml:space="preserve"> y la </w:t>
      </w:r>
      <w:r w:rsidR="00F020E4" w:rsidRPr="00F020E4">
        <w:rPr>
          <w:rFonts w:ascii="Arial" w:hAnsi="Arial" w:cs="Arial"/>
        </w:rPr>
        <w:t>ISO 31000:2018 Gestión del Riesgos-directrices.</w:t>
      </w:r>
    </w:p>
    <w:p w14:paraId="1E101741" w14:textId="77777777" w:rsidR="00EA49E7" w:rsidRDefault="00EA49E7" w:rsidP="00EA49E7">
      <w:pPr>
        <w:autoSpaceDE w:val="0"/>
        <w:autoSpaceDN w:val="0"/>
        <w:adjustRightInd w:val="0"/>
        <w:spacing w:after="0" w:line="240" w:lineRule="auto"/>
        <w:contextualSpacing/>
        <w:jc w:val="both"/>
        <w:rPr>
          <w:rFonts w:ascii="Arial" w:hAnsi="Arial" w:cs="Arial"/>
        </w:rPr>
      </w:pPr>
    </w:p>
    <w:p w14:paraId="6A58E2CA" w14:textId="77777777" w:rsidR="00EA49E7" w:rsidRPr="00A136E4"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26" w:name="_Toc121986956"/>
      <w:bookmarkStart w:id="27" w:name="_Toc125702630"/>
      <w:r w:rsidRPr="00A136E4">
        <w:rPr>
          <w:rFonts w:ascii="Arial" w:hAnsi="Arial" w:cs="Arial"/>
          <w:b/>
          <w:color w:val="17365D"/>
          <w:sz w:val="24"/>
          <w:szCs w:val="24"/>
        </w:rPr>
        <w:t>Metodología aplicada</w:t>
      </w:r>
      <w:bookmarkEnd w:id="26"/>
      <w:bookmarkEnd w:id="27"/>
    </w:p>
    <w:p w14:paraId="6F0158D7"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sz w:val="24"/>
          <w:szCs w:val="24"/>
        </w:rPr>
      </w:pPr>
    </w:p>
    <w:p w14:paraId="21BA1ACE"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lang w:val="es-ES"/>
        </w:rPr>
      </w:pPr>
      <w:r w:rsidRPr="00F020E4">
        <w:rPr>
          <w:rFonts w:ascii="Arial" w:eastAsia="Times New Roman" w:hAnsi="Arial" w:cs="Arial"/>
          <w:color w:val="000000"/>
          <w:lang w:val="es-ES"/>
        </w:rPr>
        <w:t>La auditoría se realizó de conformidad con las Normas Generales de Auditoría para el Sector Público y el Procedimiento General de Auditoría.</w:t>
      </w:r>
    </w:p>
    <w:p w14:paraId="7BA31D7C" w14:textId="77777777" w:rsidR="00EA49E7" w:rsidRPr="00707898" w:rsidRDefault="00EA49E7" w:rsidP="00EA49E7">
      <w:pPr>
        <w:autoSpaceDE w:val="0"/>
        <w:autoSpaceDN w:val="0"/>
        <w:adjustRightInd w:val="0"/>
        <w:spacing w:after="0" w:line="240" w:lineRule="auto"/>
        <w:contextualSpacing/>
        <w:jc w:val="both"/>
        <w:rPr>
          <w:rFonts w:ascii="Arial" w:eastAsia="Times New Roman" w:hAnsi="Arial" w:cs="Arial"/>
          <w:color w:val="000000"/>
          <w:lang w:val="es-ES"/>
        </w:rPr>
      </w:pPr>
    </w:p>
    <w:p w14:paraId="3BAF1748" w14:textId="77777777" w:rsidR="00EA49E7" w:rsidRPr="00A136E4"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28" w:name="_Toc121986957"/>
      <w:bookmarkStart w:id="29" w:name="_Toc125702631"/>
      <w:r w:rsidRPr="00A136E4">
        <w:rPr>
          <w:rFonts w:ascii="Arial" w:hAnsi="Arial" w:cs="Arial"/>
          <w:b/>
          <w:color w:val="17365D"/>
          <w:sz w:val="24"/>
          <w:szCs w:val="24"/>
        </w:rPr>
        <w:t>Comunicación de resultados</w:t>
      </w:r>
      <w:bookmarkEnd w:id="20"/>
      <w:bookmarkEnd w:id="28"/>
      <w:bookmarkEnd w:id="29"/>
    </w:p>
    <w:p w14:paraId="471CFB19"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sz w:val="24"/>
          <w:szCs w:val="24"/>
          <w:highlight w:val="yellow"/>
        </w:rPr>
      </w:pPr>
    </w:p>
    <w:p w14:paraId="3DD9D509" w14:textId="3062C09E" w:rsidR="00EA49E7" w:rsidRPr="005D4868" w:rsidRDefault="00EA49E7" w:rsidP="00F020E4">
      <w:pPr>
        <w:autoSpaceDE w:val="0"/>
        <w:autoSpaceDN w:val="0"/>
        <w:adjustRightInd w:val="0"/>
        <w:spacing w:after="0" w:line="240" w:lineRule="auto"/>
        <w:contextualSpacing/>
        <w:jc w:val="both"/>
        <w:rPr>
          <w:rFonts w:ascii="Arial" w:eastAsia="Times New Roman" w:hAnsi="Arial" w:cs="Arial"/>
        </w:rPr>
      </w:pPr>
      <w:r w:rsidRPr="00F020E4">
        <w:rPr>
          <w:rFonts w:ascii="Arial" w:eastAsia="Times New Roman" w:hAnsi="Arial" w:cs="Arial"/>
          <w:color w:val="000000"/>
        </w:rPr>
        <w:t xml:space="preserve">La comunicación preliminar de los resultados, conclusiones y recomendaciones producto de la auditoría se efectuó el </w:t>
      </w:r>
      <w:r w:rsidR="000604EC">
        <w:rPr>
          <w:rFonts w:ascii="Arial" w:eastAsia="Times New Roman" w:hAnsi="Arial" w:cs="Arial"/>
          <w:color w:val="000000"/>
        </w:rPr>
        <w:t>2</w:t>
      </w:r>
      <w:r w:rsidR="000122DF">
        <w:rPr>
          <w:rFonts w:ascii="Arial" w:eastAsia="Times New Roman" w:hAnsi="Arial" w:cs="Arial"/>
          <w:color w:val="000000"/>
        </w:rPr>
        <w:t>6</w:t>
      </w:r>
      <w:r w:rsidRPr="00F020E4">
        <w:rPr>
          <w:rFonts w:ascii="Arial" w:eastAsia="Times New Roman" w:hAnsi="Arial" w:cs="Arial"/>
          <w:color w:val="000000"/>
        </w:rPr>
        <w:t xml:space="preserve"> de </w:t>
      </w:r>
      <w:r w:rsidR="000604EC">
        <w:rPr>
          <w:rFonts w:ascii="Arial" w:eastAsia="Times New Roman" w:hAnsi="Arial" w:cs="Arial"/>
          <w:color w:val="000000"/>
        </w:rPr>
        <w:t>enero</w:t>
      </w:r>
      <w:r w:rsidRPr="00F020E4">
        <w:rPr>
          <w:rFonts w:ascii="Arial" w:eastAsia="Times New Roman" w:hAnsi="Arial" w:cs="Arial"/>
          <w:color w:val="000000"/>
        </w:rPr>
        <w:t xml:space="preserve"> </w:t>
      </w:r>
      <w:r w:rsidRPr="00F020E4">
        <w:rPr>
          <w:rFonts w:ascii="Arial" w:eastAsia="Times New Roman" w:hAnsi="Arial" w:cs="Arial"/>
        </w:rPr>
        <w:t>del 202</w:t>
      </w:r>
      <w:r w:rsidR="00F020E4" w:rsidRPr="00F020E4">
        <w:rPr>
          <w:rFonts w:ascii="Arial" w:eastAsia="Times New Roman" w:hAnsi="Arial" w:cs="Arial"/>
        </w:rPr>
        <w:t>3</w:t>
      </w:r>
      <w:r w:rsidRPr="00F020E4">
        <w:rPr>
          <w:rFonts w:ascii="Arial" w:eastAsia="Times New Roman" w:hAnsi="Arial" w:cs="Arial"/>
        </w:rPr>
        <w:t>, al señor Vladimir Villalobos González, Jefe de despacho, Despacho del Ministro</w:t>
      </w:r>
      <w:r w:rsidR="00171B28">
        <w:rPr>
          <w:rFonts w:ascii="Arial" w:eastAsia="Times New Roman" w:hAnsi="Arial" w:cs="Arial"/>
        </w:rPr>
        <w:t xml:space="preserve"> y a la señora </w:t>
      </w:r>
      <w:r w:rsidR="00E97720" w:rsidRPr="00E97720">
        <w:rPr>
          <w:rFonts w:ascii="Arial" w:eastAsia="Times New Roman" w:hAnsi="Arial" w:cs="Arial"/>
        </w:rPr>
        <w:t>Celia White Ward, Directora de la Dirección de Planificación Institucional.</w:t>
      </w:r>
    </w:p>
    <w:p w14:paraId="68CE83C6"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rPr>
      </w:pPr>
    </w:p>
    <w:p w14:paraId="55A22409" w14:textId="77777777" w:rsidR="00EA49E7" w:rsidRPr="00D242FD" w:rsidRDefault="00EA49E7" w:rsidP="00EA49E7">
      <w:pPr>
        <w:autoSpaceDE w:val="0"/>
        <w:autoSpaceDN w:val="0"/>
        <w:adjustRightInd w:val="0"/>
        <w:spacing w:after="0" w:line="240" w:lineRule="auto"/>
        <w:contextualSpacing/>
        <w:jc w:val="both"/>
        <w:rPr>
          <w:rFonts w:ascii="Arial" w:eastAsia="Times New Roman" w:hAnsi="Arial" w:cs="Arial"/>
          <w:color w:val="000000"/>
        </w:rPr>
      </w:pPr>
      <w:r w:rsidRPr="00BC3B08">
        <w:rPr>
          <w:rFonts w:ascii="Arial" w:eastAsia="Times New Roman" w:hAnsi="Arial" w:cs="Arial"/>
          <w:color w:val="000000"/>
        </w:rPr>
        <w:t>Las</w:t>
      </w:r>
      <w:r w:rsidRPr="00D242FD">
        <w:rPr>
          <w:rFonts w:ascii="Arial" w:eastAsia="Times New Roman" w:hAnsi="Arial" w:cs="Arial"/>
          <w:color w:val="000000"/>
        </w:rPr>
        <w:t xml:space="preserve"> observaciones realizadas fueron consignadas en el informe en lo que resultaron procedentes. (</w:t>
      </w:r>
      <w:r w:rsidRPr="00B17C78">
        <w:rPr>
          <w:rFonts w:ascii="Arial" w:eastAsia="Times New Roman" w:hAnsi="Arial" w:cs="Arial"/>
          <w:b/>
          <w:color w:val="000000"/>
        </w:rPr>
        <w:t>Ver Anexo 1</w:t>
      </w:r>
      <w:r w:rsidRPr="00D242FD">
        <w:rPr>
          <w:rFonts w:ascii="Arial" w:eastAsia="Times New Roman" w:hAnsi="Arial" w:cs="Arial"/>
          <w:color w:val="000000"/>
        </w:rPr>
        <w:t xml:space="preserve">) </w:t>
      </w:r>
    </w:p>
    <w:p w14:paraId="484D56B2" w14:textId="77777777" w:rsidR="00EA49E7" w:rsidRPr="00D242FD" w:rsidRDefault="00EA49E7" w:rsidP="00EA49E7">
      <w:pPr>
        <w:autoSpaceDE w:val="0"/>
        <w:autoSpaceDN w:val="0"/>
        <w:adjustRightInd w:val="0"/>
        <w:spacing w:after="0" w:line="240" w:lineRule="auto"/>
        <w:contextualSpacing/>
        <w:jc w:val="both"/>
        <w:rPr>
          <w:rFonts w:ascii="Arial" w:eastAsia="Times New Roman" w:hAnsi="Arial" w:cs="Arial"/>
          <w:color w:val="000000"/>
        </w:rPr>
      </w:pPr>
    </w:p>
    <w:p w14:paraId="5A03B3F1" w14:textId="6A6F5CAC" w:rsidR="00EA49E7" w:rsidRPr="00D242FD" w:rsidRDefault="00EA49E7" w:rsidP="00EA49E7">
      <w:pPr>
        <w:autoSpaceDE w:val="0"/>
        <w:autoSpaceDN w:val="0"/>
        <w:adjustRightInd w:val="0"/>
        <w:spacing w:after="0" w:line="240" w:lineRule="auto"/>
        <w:contextualSpacing/>
        <w:jc w:val="both"/>
        <w:rPr>
          <w:rFonts w:ascii="Arial" w:eastAsia="Times New Roman" w:hAnsi="Arial" w:cs="Arial"/>
          <w:color w:val="000000"/>
        </w:rPr>
      </w:pPr>
      <w:r w:rsidRPr="00D242FD">
        <w:rPr>
          <w:rFonts w:ascii="Arial" w:eastAsia="Times New Roman" w:hAnsi="Arial" w:cs="Arial"/>
          <w:color w:val="000000"/>
        </w:rPr>
        <w:lastRenderedPageBreak/>
        <w:t>Mediante el oficio N°</w:t>
      </w:r>
      <w:r w:rsidR="000122DF" w:rsidRPr="000122DF">
        <w:rPr>
          <w:rFonts w:ascii="Arial" w:eastAsia="Times New Roman" w:hAnsi="Arial" w:cs="Arial"/>
          <w:color w:val="000000"/>
        </w:rPr>
        <w:t>MH-AI-OF-0049-2023</w:t>
      </w:r>
      <w:r w:rsidRPr="00D242FD">
        <w:rPr>
          <w:rFonts w:ascii="Arial" w:eastAsia="Times New Roman" w:hAnsi="Arial" w:cs="Arial"/>
          <w:color w:val="000000"/>
        </w:rPr>
        <w:t xml:space="preserve">, de fecha </w:t>
      </w:r>
      <w:r w:rsidR="000122DF">
        <w:rPr>
          <w:rFonts w:ascii="Arial" w:eastAsia="Times New Roman" w:hAnsi="Arial" w:cs="Arial"/>
          <w:color w:val="000000"/>
        </w:rPr>
        <w:t>23</w:t>
      </w:r>
      <w:r w:rsidRPr="00D242FD">
        <w:rPr>
          <w:rFonts w:ascii="Arial" w:eastAsia="Times New Roman" w:hAnsi="Arial" w:cs="Arial"/>
          <w:color w:val="000000"/>
        </w:rPr>
        <w:t xml:space="preserve"> de </w:t>
      </w:r>
      <w:r w:rsidR="00F020E4">
        <w:rPr>
          <w:rFonts w:ascii="Arial" w:eastAsia="Times New Roman" w:hAnsi="Arial" w:cs="Arial"/>
          <w:color w:val="000000"/>
        </w:rPr>
        <w:t>enero</w:t>
      </w:r>
      <w:r w:rsidRPr="00D242FD">
        <w:rPr>
          <w:rFonts w:ascii="Arial" w:eastAsia="Times New Roman" w:hAnsi="Arial" w:cs="Arial"/>
          <w:color w:val="000000"/>
        </w:rPr>
        <w:t xml:space="preserve"> de 202</w:t>
      </w:r>
      <w:r w:rsidR="00F020E4">
        <w:rPr>
          <w:rFonts w:ascii="Arial" w:eastAsia="Times New Roman" w:hAnsi="Arial" w:cs="Arial"/>
          <w:color w:val="000000"/>
        </w:rPr>
        <w:t>3</w:t>
      </w:r>
      <w:r w:rsidR="000122DF">
        <w:rPr>
          <w:rFonts w:ascii="Arial" w:eastAsia="Times New Roman" w:hAnsi="Arial" w:cs="Arial"/>
          <w:color w:val="000000"/>
        </w:rPr>
        <w:t>,</w:t>
      </w:r>
      <w:r w:rsidRPr="00D242FD">
        <w:rPr>
          <w:rFonts w:ascii="Arial" w:eastAsia="Times New Roman" w:hAnsi="Arial" w:cs="Arial"/>
          <w:color w:val="000000"/>
        </w:rPr>
        <w:t xml:space="preserve"> se convocó a la Administración Activa a la exposición verbal de resultados y se remitió </w:t>
      </w:r>
      <w:bookmarkStart w:id="30" w:name="_Hlk120616009"/>
      <w:r w:rsidRPr="00D242FD">
        <w:rPr>
          <w:rFonts w:ascii="Arial" w:eastAsia="Times New Roman" w:hAnsi="Arial" w:cs="Arial"/>
          <w:color w:val="000000"/>
        </w:rPr>
        <w:t>el borrador del informe para su conocimiento y envío de observaciones en caso de considerarlo pertinente</w:t>
      </w:r>
      <w:bookmarkEnd w:id="30"/>
      <w:r w:rsidRPr="00D242FD">
        <w:rPr>
          <w:rFonts w:ascii="Arial" w:eastAsia="Times New Roman" w:hAnsi="Arial" w:cs="Arial"/>
          <w:color w:val="000000"/>
        </w:rPr>
        <w:t xml:space="preserve">. </w:t>
      </w:r>
    </w:p>
    <w:p w14:paraId="5B1B171D"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rPr>
      </w:pPr>
    </w:p>
    <w:p w14:paraId="3952A953" w14:textId="77777777" w:rsidR="00EA49E7" w:rsidRPr="00A136E4" w:rsidRDefault="00EA49E7" w:rsidP="00EA49E7">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31" w:name="_Toc121986958"/>
      <w:bookmarkStart w:id="32" w:name="_Toc125702632"/>
      <w:bookmarkStart w:id="33" w:name="_Toc390783327"/>
      <w:r w:rsidRPr="00A136E4">
        <w:rPr>
          <w:rFonts w:ascii="Arial" w:hAnsi="Arial" w:cs="Arial"/>
          <w:b/>
          <w:color w:val="17365D"/>
          <w:sz w:val="24"/>
          <w:szCs w:val="24"/>
        </w:rPr>
        <w:t>Normativa relacionada con el control interno</w:t>
      </w:r>
      <w:bookmarkEnd w:id="31"/>
      <w:bookmarkEnd w:id="32"/>
    </w:p>
    <w:p w14:paraId="33369D4F" w14:textId="77777777" w:rsidR="00EA49E7" w:rsidRDefault="00EA49E7" w:rsidP="00EA49E7">
      <w:pPr>
        <w:autoSpaceDE w:val="0"/>
        <w:autoSpaceDN w:val="0"/>
        <w:adjustRightInd w:val="0"/>
        <w:spacing w:after="0" w:line="240" w:lineRule="auto"/>
        <w:contextualSpacing/>
        <w:jc w:val="both"/>
        <w:rPr>
          <w:rFonts w:ascii="Arial" w:eastAsia="Times New Roman" w:hAnsi="Arial" w:cs="Arial"/>
          <w:color w:val="000000"/>
          <w:sz w:val="24"/>
          <w:szCs w:val="24"/>
        </w:rPr>
      </w:pPr>
    </w:p>
    <w:bookmarkEnd w:id="33"/>
    <w:p w14:paraId="513DB677" w14:textId="77777777" w:rsidR="00EA49E7" w:rsidRPr="00780F9F" w:rsidRDefault="00EA49E7" w:rsidP="00EA49E7">
      <w:pPr>
        <w:autoSpaceDE w:val="0"/>
        <w:autoSpaceDN w:val="0"/>
        <w:adjustRightInd w:val="0"/>
        <w:spacing w:after="0" w:line="240" w:lineRule="auto"/>
        <w:contextualSpacing/>
        <w:jc w:val="both"/>
        <w:rPr>
          <w:rFonts w:ascii="Arial" w:hAnsi="Arial" w:cs="Arial"/>
          <w:color w:val="000000"/>
        </w:rPr>
      </w:pPr>
      <w:r w:rsidRPr="0091575E">
        <w:rPr>
          <w:rFonts w:ascii="Arial" w:hAnsi="Arial" w:cs="Arial"/>
          <w:color w:val="000000"/>
        </w:rPr>
        <w:t>Este informe debe tramitarse de acuerdo con los alcances establecidos en la Ley General de Control Interno (Ley N°8292) y el Manual para la Atención de los Informes de la Contraloría General de la República e Informes y criterios emitidos por la Auditoría Interna</w:t>
      </w:r>
      <w:r w:rsidR="0091575E" w:rsidRPr="0091575E">
        <w:rPr>
          <w:rFonts w:ascii="Arial" w:hAnsi="Arial" w:cs="Arial"/>
          <w:color w:val="000000"/>
        </w:rPr>
        <w:t xml:space="preserve"> </w:t>
      </w:r>
      <w:r w:rsidRPr="0091575E">
        <w:rPr>
          <w:rFonts w:ascii="Arial" w:hAnsi="Arial" w:cs="Arial"/>
          <w:color w:val="000000"/>
        </w:rPr>
        <w:t>del Ministerio de Hacienda (Decreto N°43676 H).</w:t>
      </w:r>
    </w:p>
    <w:p w14:paraId="478DDA1B" w14:textId="77777777" w:rsidR="00EA49E7" w:rsidRPr="0057432A" w:rsidRDefault="00EA49E7" w:rsidP="00EA49E7">
      <w:pPr>
        <w:autoSpaceDE w:val="0"/>
        <w:autoSpaceDN w:val="0"/>
        <w:adjustRightInd w:val="0"/>
        <w:spacing w:after="0" w:line="240" w:lineRule="auto"/>
        <w:contextualSpacing/>
        <w:jc w:val="both"/>
        <w:rPr>
          <w:rFonts w:ascii="Arial" w:eastAsia="Times New Roman" w:hAnsi="Arial" w:cs="Arial"/>
          <w:color w:val="000000"/>
        </w:rPr>
      </w:pPr>
    </w:p>
    <w:p w14:paraId="27F526B6" w14:textId="77777777" w:rsidR="0055222A" w:rsidRPr="00A136E4" w:rsidRDefault="0055222A" w:rsidP="00E03114">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34" w:name="_Toc362603802"/>
      <w:bookmarkStart w:id="35" w:name="_Toc363725348"/>
      <w:bookmarkStart w:id="36" w:name="_Toc390783328"/>
      <w:bookmarkStart w:id="37" w:name="_Toc125702633"/>
      <w:r w:rsidRPr="00A136E4">
        <w:rPr>
          <w:rFonts w:ascii="Arial" w:hAnsi="Arial" w:cs="Arial"/>
          <w:b/>
          <w:color w:val="17365D"/>
          <w:sz w:val="24"/>
          <w:szCs w:val="24"/>
        </w:rPr>
        <w:t>Generalidades</w:t>
      </w:r>
      <w:bookmarkEnd w:id="34"/>
      <w:bookmarkEnd w:id="35"/>
      <w:bookmarkEnd w:id="36"/>
      <w:bookmarkEnd w:id="37"/>
    </w:p>
    <w:p w14:paraId="02DAD2FC" w14:textId="77777777" w:rsidR="007463C5" w:rsidRDefault="007463C5" w:rsidP="00E03114">
      <w:pPr>
        <w:autoSpaceDE w:val="0"/>
        <w:autoSpaceDN w:val="0"/>
        <w:adjustRightInd w:val="0"/>
        <w:spacing w:after="0" w:line="240" w:lineRule="auto"/>
        <w:contextualSpacing/>
        <w:jc w:val="both"/>
        <w:rPr>
          <w:rFonts w:ascii="Arial" w:hAnsi="Arial" w:cs="Arial"/>
          <w:lang w:eastAsia="es-CR"/>
        </w:rPr>
      </w:pPr>
    </w:p>
    <w:p w14:paraId="1FDCD03C" w14:textId="77777777" w:rsidR="00146F0A" w:rsidRDefault="00146F0A" w:rsidP="00412E8C">
      <w:pPr>
        <w:autoSpaceDE w:val="0"/>
        <w:autoSpaceDN w:val="0"/>
        <w:adjustRightInd w:val="0"/>
        <w:spacing w:after="0" w:line="240" w:lineRule="auto"/>
        <w:contextualSpacing/>
        <w:jc w:val="both"/>
        <w:rPr>
          <w:rFonts w:ascii="Arial" w:hAnsi="Arial" w:cs="Arial"/>
        </w:rPr>
      </w:pPr>
      <w:r>
        <w:rPr>
          <w:rFonts w:ascii="Arial" w:hAnsi="Arial" w:cs="Arial"/>
        </w:rPr>
        <w:t>L</w:t>
      </w:r>
      <w:r w:rsidR="008C2EE4" w:rsidRPr="008C2EE4">
        <w:rPr>
          <w:rFonts w:ascii="Arial" w:hAnsi="Arial" w:cs="Arial"/>
        </w:rPr>
        <w:t xml:space="preserve">a Ley General del Control Interno N°8222, en su artículo 18 </w:t>
      </w:r>
      <w:r w:rsidRPr="00146F0A">
        <w:rPr>
          <w:rFonts w:ascii="Arial" w:hAnsi="Arial" w:cs="Arial"/>
        </w:rPr>
        <w:t xml:space="preserve">establece que todo ente u órgano </w:t>
      </w:r>
      <w:bookmarkStart w:id="38" w:name="_Hlk124859034"/>
      <w:r w:rsidRPr="00146F0A">
        <w:rPr>
          <w:rFonts w:ascii="Arial" w:hAnsi="Arial" w:cs="Arial"/>
        </w:rPr>
        <w:t>deberá contar con un sistema específico de valoración del riesgo institucional por áreas, sectores, actividades o tarea que, de conformidad con sus particularidades, permita identificar el nivel de riesgo institucional y adoptar los métodos de uso continuo y sistemático, a fin de analizar y administrar el nivel de dicho riesgo.</w:t>
      </w:r>
      <w:bookmarkEnd w:id="38"/>
    </w:p>
    <w:p w14:paraId="752D5A99" w14:textId="77777777" w:rsidR="00146F0A" w:rsidRDefault="00146F0A" w:rsidP="00412E8C">
      <w:pPr>
        <w:autoSpaceDE w:val="0"/>
        <w:autoSpaceDN w:val="0"/>
        <w:adjustRightInd w:val="0"/>
        <w:spacing w:after="0" w:line="240" w:lineRule="auto"/>
        <w:contextualSpacing/>
        <w:jc w:val="both"/>
        <w:rPr>
          <w:rFonts w:ascii="Arial" w:hAnsi="Arial" w:cs="Arial"/>
        </w:rPr>
      </w:pPr>
    </w:p>
    <w:p w14:paraId="67F99764" w14:textId="77777777" w:rsidR="00A87F17" w:rsidRDefault="00947830" w:rsidP="00412E8C">
      <w:pPr>
        <w:autoSpaceDE w:val="0"/>
        <w:autoSpaceDN w:val="0"/>
        <w:adjustRightInd w:val="0"/>
        <w:spacing w:after="0" w:line="240" w:lineRule="auto"/>
        <w:contextualSpacing/>
        <w:jc w:val="both"/>
        <w:rPr>
          <w:rFonts w:ascii="Arial" w:hAnsi="Arial" w:cs="Arial"/>
        </w:rPr>
      </w:pPr>
      <w:r w:rsidRPr="00947830">
        <w:rPr>
          <w:rFonts w:ascii="Arial" w:hAnsi="Arial" w:cs="Arial"/>
        </w:rPr>
        <w:t>De igual manera,</w:t>
      </w:r>
      <w:r>
        <w:rPr>
          <w:rFonts w:ascii="Arial" w:hAnsi="Arial" w:cs="Arial"/>
        </w:rPr>
        <w:t xml:space="preserve"> y </w:t>
      </w:r>
      <w:r w:rsidR="008C2EE4" w:rsidRPr="008C2EE4">
        <w:rPr>
          <w:rFonts w:ascii="Arial" w:hAnsi="Arial" w:cs="Arial"/>
        </w:rPr>
        <w:t>con fundamento, en las directrices que sirven de base para el establecimiento y funcionamiento de SEVRI</w:t>
      </w:r>
      <w:r w:rsidR="00077CD4" w:rsidRPr="0083515A">
        <w:rPr>
          <w:rStyle w:val="Refdenotaalpie"/>
          <w:rFonts w:ascii="Arial" w:hAnsi="Arial" w:cs="Arial"/>
        </w:rPr>
        <w:footnoteReference w:id="3"/>
      </w:r>
      <w:r w:rsidR="008C2EE4" w:rsidRPr="008C2EE4">
        <w:rPr>
          <w:rFonts w:ascii="Arial" w:hAnsi="Arial" w:cs="Arial"/>
        </w:rPr>
        <w:t xml:space="preserve">, emitidas por la Contraloría General de la República, </w:t>
      </w:r>
      <w:r w:rsidR="00237627">
        <w:rPr>
          <w:rFonts w:ascii="Arial" w:hAnsi="Arial" w:cs="Arial"/>
        </w:rPr>
        <w:t>se define</w:t>
      </w:r>
      <w:r w:rsidR="00077CD4">
        <w:rPr>
          <w:rFonts w:ascii="Arial" w:hAnsi="Arial" w:cs="Arial"/>
        </w:rPr>
        <w:t xml:space="preserve"> </w:t>
      </w:r>
      <w:r w:rsidR="00146F0A">
        <w:rPr>
          <w:rFonts w:ascii="Arial" w:hAnsi="Arial" w:cs="Arial"/>
        </w:rPr>
        <w:t>e</w:t>
      </w:r>
      <w:r w:rsidR="00412E8C" w:rsidRPr="00412E8C">
        <w:rPr>
          <w:rFonts w:ascii="Arial" w:hAnsi="Arial" w:cs="Arial"/>
        </w:rPr>
        <w:t xml:space="preserve">l </w:t>
      </w:r>
      <w:r w:rsidR="00A87F17" w:rsidRPr="00A87F17">
        <w:rPr>
          <w:rFonts w:ascii="Arial" w:hAnsi="Arial" w:cs="Arial"/>
        </w:rPr>
        <w:t>Sistema Específico de Valoración del Riesgo Institucional (SEVRI)</w:t>
      </w:r>
      <w:r w:rsidR="00A87F17">
        <w:rPr>
          <w:rFonts w:ascii="Arial" w:hAnsi="Arial" w:cs="Arial"/>
        </w:rPr>
        <w:t>,</w:t>
      </w:r>
      <w:r w:rsidR="00412E8C" w:rsidRPr="00412E8C">
        <w:rPr>
          <w:rFonts w:ascii="Arial" w:hAnsi="Arial" w:cs="Arial"/>
        </w:rPr>
        <w:t xml:space="preserve"> como el conjunto</w:t>
      </w:r>
      <w:r w:rsidR="00412E8C">
        <w:rPr>
          <w:rFonts w:ascii="Arial" w:hAnsi="Arial" w:cs="Arial"/>
        </w:rPr>
        <w:t xml:space="preserve"> </w:t>
      </w:r>
      <w:r w:rsidR="00412E8C" w:rsidRPr="00412E8C">
        <w:rPr>
          <w:rFonts w:ascii="Arial" w:hAnsi="Arial" w:cs="Arial"/>
        </w:rPr>
        <w:t>organizado de componentes de la institución que interaccionan para la identificación,</w:t>
      </w:r>
      <w:r w:rsidR="00412E8C">
        <w:rPr>
          <w:rFonts w:ascii="Arial" w:hAnsi="Arial" w:cs="Arial"/>
        </w:rPr>
        <w:t xml:space="preserve"> </w:t>
      </w:r>
      <w:r w:rsidR="00412E8C" w:rsidRPr="00412E8C">
        <w:rPr>
          <w:rFonts w:ascii="Arial" w:hAnsi="Arial" w:cs="Arial"/>
        </w:rPr>
        <w:t>análisis, evaluación, administración, revisión, documentación y comunicación de los</w:t>
      </w:r>
      <w:r w:rsidR="00412E8C">
        <w:rPr>
          <w:rFonts w:ascii="Arial" w:hAnsi="Arial" w:cs="Arial"/>
        </w:rPr>
        <w:t xml:space="preserve"> </w:t>
      </w:r>
      <w:r w:rsidR="00412E8C" w:rsidRPr="00412E8C">
        <w:rPr>
          <w:rFonts w:ascii="Arial" w:hAnsi="Arial" w:cs="Arial"/>
        </w:rPr>
        <w:t>riesgos institucionales relevantes</w:t>
      </w:r>
      <w:r w:rsidR="00412E8C">
        <w:rPr>
          <w:rFonts w:ascii="Arial" w:hAnsi="Arial" w:cs="Arial"/>
        </w:rPr>
        <w:t>.</w:t>
      </w:r>
      <w:r w:rsidR="00412E8C" w:rsidRPr="00412E8C">
        <w:rPr>
          <w:rFonts w:ascii="Arial" w:hAnsi="Arial" w:cs="Arial"/>
        </w:rPr>
        <w:t xml:space="preserve"> </w:t>
      </w:r>
    </w:p>
    <w:p w14:paraId="6D31C240" w14:textId="77777777" w:rsidR="00237627" w:rsidRDefault="00237627" w:rsidP="00412E8C">
      <w:pPr>
        <w:autoSpaceDE w:val="0"/>
        <w:autoSpaceDN w:val="0"/>
        <w:adjustRightInd w:val="0"/>
        <w:spacing w:after="0" w:line="240" w:lineRule="auto"/>
        <w:contextualSpacing/>
        <w:jc w:val="both"/>
        <w:rPr>
          <w:rFonts w:ascii="Arial" w:hAnsi="Arial" w:cs="Arial"/>
        </w:rPr>
      </w:pPr>
    </w:p>
    <w:p w14:paraId="28F5F2CF" w14:textId="77777777" w:rsidR="00BB04E7" w:rsidRDefault="00BB04E7" w:rsidP="00400DCC">
      <w:pPr>
        <w:autoSpaceDE w:val="0"/>
        <w:autoSpaceDN w:val="0"/>
        <w:adjustRightInd w:val="0"/>
        <w:spacing w:after="0" w:line="240" w:lineRule="auto"/>
        <w:contextualSpacing/>
        <w:jc w:val="both"/>
        <w:rPr>
          <w:rFonts w:ascii="Arial" w:hAnsi="Arial" w:cs="Arial"/>
        </w:rPr>
      </w:pPr>
      <w:r w:rsidRPr="00BB04E7">
        <w:rPr>
          <w:rFonts w:ascii="Arial" w:hAnsi="Arial" w:cs="Arial"/>
        </w:rPr>
        <w:t xml:space="preserve">Por su parte, en el numeral </w:t>
      </w:r>
      <w:r>
        <w:rPr>
          <w:rFonts w:ascii="Arial" w:hAnsi="Arial" w:cs="Arial"/>
        </w:rPr>
        <w:t>2</w:t>
      </w:r>
      <w:r w:rsidRPr="00BB04E7">
        <w:rPr>
          <w:rFonts w:ascii="Arial" w:hAnsi="Arial" w:cs="Arial"/>
        </w:rPr>
        <w:t>.2</w:t>
      </w:r>
      <w:r w:rsidR="00EB7A66" w:rsidRPr="0083515A">
        <w:rPr>
          <w:rStyle w:val="Refdenotaalpie"/>
          <w:rFonts w:ascii="Arial" w:hAnsi="Arial" w:cs="Arial"/>
        </w:rPr>
        <w:footnoteReference w:id="4"/>
      </w:r>
      <w:r w:rsidRPr="00BB04E7">
        <w:rPr>
          <w:rFonts w:ascii="Arial" w:hAnsi="Arial" w:cs="Arial"/>
        </w:rPr>
        <w:t xml:space="preserve"> se</w:t>
      </w:r>
      <w:r>
        <w:rPr>
          <w:rFonts w:ascii="Arial" w:hAnsi="Arial" w:cs="Arial"/>
        </w:rPr>
        <w:t xml:space="preserve"> señala </w:t>
      </w:r>
      <w:r w:rsidR="00746275">
        <w:rPr>
          <w:rFonts w:ascii="Arial" w:hAnsi="Arial" w:cs="Arial"/>
        </w:rPr>
        <w:t xml:space="preserve">que </w:t>
      </w:r>
      <w:bookmarkStart w:id="41" w:name="_Hlk124859461"/>
      <w:r w:rsidR="00A87F17">
        <w:rPr>
          <w:rFonts w:ascii="Arial" w:hAnsi="Arial" w:cs="Arial"/>
        </w:rPr>
        <w:t xml:space="preserve">el </w:t>
      </w:r>
      <w:r w:rsidR="00A87F17" w:rsidRPr="00400DCC">
        <w:rPr>
          <w:rFonts w:ascii="Arial" w:hAnsi="Arial" w:cs="Arial"/>
        </w:rPr>
        <w:t>objetivo del</w:t>
      </w:r>
      <w:r w:rsidR="00A87F17">
        <w:rPr>
          <w:rFonts w:ascii="Arial" w:hAnsi="Arial" w:cs="Arial"/>
        </w:rPr>
        <w:t xml:space="preserve"> SEVRI </w:t>
      </w:r>
      <w:r w:rsidR="00A87F17" w:rsidRPr="00A87F17">
        <w:rPr>
          <w:rFonts w:ascii="Arial" w:hAnsi="Arial" w:cs="Arial"/>
        </w:rPr>
        <w:t xml:space="preserve">es producir información </w:t>
      </w:r>
      <w:r w:rsidR="00746275" w:rsidRPr="00746275">
        <w:rPr>
          <w:rFonts w:ascii="Arial" w:hAnsi="Arial" w:cs="Arial"/>
        </w:rPr>
        <w:t>que apoye la toma de decisiones orientada a ubicar a la institución en un nivel de riesgo aceptable y así promover, de manera razonable, el logro de los objetivos institucionales</w:t>
      </w:r>
      <w:r>
        <w:rPr>
          <w:rFonts w:ascii="Arial" w:hAnsi="Arial" w:cs="Arial"/>
        </w:rPr>
        <w:t>.</w:t>
      </w:r>
    </w:p>
    <w:bookmarkEnd w:id="41"/>
    <w:p w14:paraId="7E70B5DA" w14:textId="77777777" w:rsidR="00BB04E7" w:rsidRDefault="00BB04E7" w:rsidP="00400DCC">
      <w:pPr>
        <w:autoSpaceDE w:val="0"/>
        <w:autoSpaceDN w:val="0"/>
        <w:adjustRightInd w:val="0"/>
        <w:spacing w:after="0" w:line="240" w:lineRule="auto"/>
        <w:contextualSpacing/>
        <w:jc w:val="both"/>
        <w:rPr>
          <w:rFonts w:ascii="Arial" w:hAnsi="Arial" w:cs="Arial"/>
        </w:rPr>
      </w:pPr>
    </w:p>
    <w:p w14:paraId="44FD776A" w14:textId="77777777" w:rsidR="00726BE5" w:rsidRPr="00726BE5" w:rsidRDefault="00BB04E7" w:rsidP="00726BE5">
      <w:pPr>
        <w:autoSpaceDE w:val="0"/>
        <w:autoSpaceDN w:val="0"/>
        <w:adjustRightInd w:val="0"/>
        <w:spacing w:after="0" w:line="240" w:lineRule="auto"/>
        <w:contextualSpacing/>
        <w:jc w:val="both"/>
        <w:rPr>
          <w:rFonts w:ascii="Arial" w:hAnsi="Arial" w:cs="Arial"/>
        </w:rPr>
      </w:pPr>
      <w:r>
        <w:rPr>
          <w:rFonts w:ascii="Arial" w:hAnsi="Arial" w:cs="Arial"/>
        </w:rPr>
        <w:t>En este sentido, e</w:t>
      </w:r>
      <w:r w:rsidRPr="00237627">
        <w:rPr>
          <w:rFonts w:ascii="Arial" w:hAnsi="Arial" w:cs="Arial"/>
        </w:rPr>
        <w:t>n el numeral 3.</w:t>
      </w:r>
      <w:r w:rsidR="00B04951">
        <w:rPr>
          <w:rFonts w:ascii="Arial" w:hAnsi="Arial" w:cs="Arial"/>
        </w:rPr>
        <w:t>1</w:t>
      </w:r>
      <w:r w:rsidRPr="00237627">
        <w:rPr>
          <w:rFonts w:ascii="Arial" w:hAnsi="Arial" w:cs="Arial"/>
        </w:rPr>
        <w:t xml:space="preserve"> de las referidas Directrices se estipula que, </w:t>
      </w:r>
      <w:r w:rsidR="00726BE5">
        <w:rPr>
          <w:rFonts w:ascii="Arial" w:hAnsi="Arial" w:cs="Arial"/>
        </w:rPr>
        <w:t>s</w:t>
      </w:r>
      <w:r w:rsidR="00726BE5" w:rsidRPr="00726BE5">
        <w:rPr>
          <w:rFonts w:ascii="Arial" w:hAnsi="Arial" w:cs="Arial"/>
        </w:rPr>
        <w:t>e deberán establecer, previo al funcionamiento del SEVRI, los siguientes componentes:</w:t>
      </w:r>
    </w:p>
    <w:p w14:paraId="4ADAE3DD" w14:textId="77777777" w:rsidR="00726BE5" w:rsidRDefault="00726BE5" w:rsidP="00726BE5">
      <w:pPr>
        <w:autoSpaceDE w:val="0"/>
        <w:autoSpaceDN w:val="0"/>
        <w:adjustRightInd w:val="0"/>
        <w:spacing w:after="0" w:line="240" w:lineRule="auto"/>
        <w:contextualSpacing/>
        <w:jc w:val="both"/>
        <w:rPr>
          <w:rFonts w:ascii="Arial" w:hAnsi="Arial" w:cs="Arial"/>
          <w:lang w:eastAsia="es-CR"/>
        </w:rPr>
      </w:pPr>
    </w:p>
    <w:p w14:paraId="4A6484A1" w14:textId="77777777" w:rsidR="00726BE5" w:rsidRPr="00726BE5" w:rsidRDefault="00726BE5" w:rsidP="00726BE5">
      <w:pPr>
        <w:autoSpaceDE w:val="0"/>
        <w:autoSpaceDN w:val="0"/>
        <w:adjustRightInd w:val="0"/>
        <w:spacing w:after="0" w:line="240" w:lineRule="auto"/>
        <w:contextualSpacing/>
        <w:jc w:val="both"/>
        <w:rPr>
          <w:rFonts w:ascii="Arial" w:hAnsi="Arial" w:cs="Arial"/>
        </w:rPr>
      </w:pPr>
      <w:r w:rsidRPr="00726BE5">
        <w:rPr>
          <w:rFonts w:ascii="Arial" w:hAnsi="Arial" w:cs="Arial"/>
        </w:rPr>
        <w:t>a) Marco orientador.</w:t>
      </w:r>
    </w:p>
    <w:p w14:paraId="0D40EB2F" w14:textId="77777777" w:rsidR="00726BE5" w:rsidRPr="00726BE5" w:rsidRDefault="00726BE5" w:rsidP="00726BE5">
      <w:pPr>
        <w:autoSpaceDE w:val="0"/>
        <w:autoSpaceDN w:val="0"/>
        <w:adjustRightInd w:val="0"/>
        <w:spacing w:after="0" w:line="240" w:lineRule="auto"/>
        <w:contextualSpacing/>
        <w:jc w:val="both"/>
        <w:rPr>
          <w:rFonts w:ascii="Arial" w:hAnsi="Arial" w:cs="Arial"/>
        </w:rPr>
      </w:pPr>
      <w:r w:rsidRPr="00726BE5">
        <w:rPr>
          <w:rFonts w:ascii="Arial" w:hAnsi="Arial" w:cs="Arial"/>
        </w:rPr>
        <w:t>b) Ambiente de apoyo.</w:t>
      </w:r>
    </w:p>
    <w:p w14:paraId="0E8B239F" w14:textId="77777777" w:rsidR="00726BE5" w:rsidRPr="00726BE5" w:rsidRDefault="00726BE5" w:rsidP="00726BE5">
      <w:pPr>
        <w:autoSpaceDE w:val="0"/>
        <w:autoSpaceDN w:val="0"/>
        <w:adjustRightInd w:val="0"/>
        <w:spacing w:after="0" w:line="240" w:lineRule="auto"/>
        <w:contextualSpacing/>
        <w:jc w:val="both"/>
        <w:rPr>
          <w:rFonts w:ascii="Arial" w:hAnsi="Arial" w:cs="Arial"/>
        </w:rPr>
      </w:pPr>
      <w:r w:rsidRPr="00726BE5">
        <w:rPr>
          <w:rFonts w:ascii="Arial" w:hAnsi="Arial" w:cs="Arial"/>
        </w:rPr>
        <w:t>c) Recursos.</w:t>
      </w:r>
    </w:p>
    <w:p w14:paraId="0AE2516C" w14:textId="77777777" w:rsidR="00726BE5" w:rsidRPr="00726BE5" w:rsidRDefault="00726BE5" w:rsidP="00726BE5">
      <w:pPr>
        <w:autoSpaceDE w:val="0"/>
        <w:autoSpaceDN w:val="0"/>
        <w:adjustRightInd w:val="0"/>
        <w:spacing w:after="0" w:line="240" w:lineRule="auto"/>
        <w:contextualSpacing/>
        <w:jc w:val="both"/>
        <w:rPr>
          <w:rFonts w:ascii="Arial" w:hAnsi="Arial" w:cs="Arial"/>
        </w:rPr>
      </w:pPr>
      <w:r w:rsidRPr="00726BE5">
        <w:rPr>
          <w:rFonts w:ascii="Arial" w:hAnsi="Arial" w:cs="Arial"/>
        </w:rPr>
        <w:t>d) Sujetos interesados.</w:t>
      </w:r>
    </w:p>
    <w:p w14:paraId="275A5ABA" w14:textId="77777777" w:rsidR="00726BE5" w:rsidRDefault="00726BE5" w:rsidP="00726BE5">
      <w:pPr>
        <w:autoSpaceDE w:val="0"/>
        <w:autoSpaceDN w:val="0"/>
        <w:adjustRightInd w:val="0"/>
        <w:spacing w:after="0" w:line="240" w:lineRule="auto"/>
        <w:contextualSpacing/>
        <w:jc w:val="both"/>
        <w:rPr>
          <w:rFonts w:ascii="Arial" w:hAnsi="Arial" w:cs="Arial"/>
        </w:rPr>
      </w:pPr>
      <w:r w:rsidRPr="00726BE5">
        <w:rPr>
          <w:rFonts w:ascii="Arial" w:hAnsi="Arial" w:cs="Arial"/>
        </w:rPr>
        <w:t>e) Herramienta para la administración de información.</w:t>
      </w:r>
    </w:p>
    <w:p w14:paraId="505757C7" w14:textId="77777777" w:rsidR="00726BE5" w:rsidRDefault="00726BE5" w:rsidP="00400DCC">
      <w:pPr>
        <w:autoSpaceDE w:val="0"/>
        <w:autoSpaceDN w:val="0"/>
        <w:adjustRightInd w:val="0"/>
        <w:spacing w:after="0" w:line="240" w:lineRule="auto"/>
        <w:contextualSpacing/>
        <w:jc w:val="both"/>
        <w:rPr>
          <w:rFonts w:ascii="Arial" w:hAnsi="Arial" w:cs="Arial"/>
        </w:rPr>
      </w:pPr>
    </w:p>
    <w:p w14:paraId="41CF4EB3" w14:textId="7C737221" w:rsidR="00412E8C" w:rsidRDefault="00A54A27" w:rsidP="00726BE5">
      <w:pPr>
        <w:autoSpaceDE w:val="0"/>
        <w:autoSpaceDN w:val="0"/>
        <w:adjustRightInd w:val="0"/>
        <w:spacing w:after="0" w:line="240" w:lineRule="auto"/>
        <w:contextualSpacing/>
        <w:jc w:val="both"/>
        <w:rPr>
          <w:rFonts w:ascii="Arial" w:hAnsi="Arial" w:cs="Arial"/>
        </w:rPr>
      </w:pPr>
      <w:r>
        <w:rPr>
          <w:rFonts w:ascii="Arial" w:hAnsi="Arial" w:cs="Arial"/>
        </w:rPr>
        <w:t>S</w:t>
      </w:r>
      <w:r w:rsidR="00077CD4" w:rsidRPr="00077CD4">
        <w:rPr>
          <w:rFonts w:ascii="Arial" w:hAnsi="Arial" w:cs="Arial"/>
        </w:rPr>
        <w:t>obre el particular</w:t>
      </w:r>
      <w:r>
        <w:rPr>
          <w:rFonts w:ascii="Arial" w:hAnsi="Arial" w:cs="Arial"/>
        </w:rPr>
        <w:t xml:space="preserve"> se destaca</w:t>
      </w:r>
      <w:r w:rsidR="00077CD4" w:rsidRPr="00077CD4">
        <w:rPr>
          <w:rFonts w:ascii="Arial" w:hAnsi="Arial" w:cs="Arial"/>
        </w:rPr>
        <w:t xml:space="preserve">, </w:t>
      </w:r>
      <w:r w:rsidR="00B04951">
        <w:rPr>
          <w:rFonts w:ascii="Arial" w:hAnsi="Arial" w:cs="Arial"/>
        </w:rPr>
        <w:t xml:space="preserve">que </w:t>
      </w:r>
      <w:r w:rsidR="00726BE5">
        <w:rPr>
          <w:rFonts w:ascii="Arial" w:hAnsi="Arial" w:cs="Arial"/>
        </w:rPr>
        <w:t xml:space="preserve">el Ministerio de Hacienda, </w:t>
      </w:r>
      <w:r w:rsidR="00FB0719">
        <w:rPr>
          <w:rFonts w:ascii="Arial" w:hAnsi="Arial" w:cs="Arial"/>
        </w:rPr>
        <w:t xml:space="preserve">por medio </w:t>
      </w:r>
      <w:r w:rsidR="0095213F">
        <w:rPr>
          <w:rFonts w:ascii="Arial" w:hAnsi="Arial" w:cs="Arial"/>
        </w:rPr>
        <w:t xml:space="preserve">de </w:t>
      </w:r>
      <w:r w:rsidR="00726BE5">
        <w:rPr>
          <w:rFonts w:ascii="Arial" w:hAnsi="Arial" w:cs="Arial"/>
        </w:rPr>
        <w:t xml:space="preserve">la Dirección de Planificación Institucional </w:t>
      </w:r>
      <w:r w:rsidR="00DE35FA">
        <w:rPr>
          <w:rFonts w:ascii="Arial" w:hAnsi="Arial" w:cs="Arial"/>
        </w:rPr>
        <w:t xml:space="preserve">ha emitido </w:t>
      </w:r>
      <w:r w:rsidR="00726BE5">
        <w:rPr>
          <w:rFonts w:ascii="Arial" w:hAnsi="Arial" w:cs="Arial"/>
        </w:rPr>
        <w:t xml:space="preserve">los siguientes </w:t>
      </w:r>
      <w:bookmarkStart w:id="42" w:name="_Hlk124504925"/>
      <w:r w:rsidR="00726BE5">
        <w:rPr>
          <w:rFonts w:ascii="Arial" w:hAnsi="Arial" w:cs="Arial"/>
        </w:rPr>
        <w:t xml:space="preserve">documentos relativos a la </w:t>
      </w:r>
      <w:r w:rsidR="00726BE5" w:rsidRPr="00726BE5">
        <w:rPr>
          <w:rFonts w:ascii="Arial" w:hAnsi="Arial" w:cs="Arial"/>
        </w:rPr>
        <w:t>Valoración de Riesgo Institucional</w:t>
      </w:r>
      <w:bookmarkEnd w:id="42"/>
      <w:r w:rsidR="00EB7A66">
        <w:rPr>
          <w:rFonts w:ascii="Arial" w:hAnsi="Arial" w:cs="Arial"/>
        </w:rPr>
        <w:t xml:space="preserve">, </w:t>
      </w:r>
      <w:r w:rsidR="0095213F">
        <w:rPr>
          <w:rFonts w:ascii="Arial" w:hAnsi="Arial" w:cs="Arial"/>
        </w:rPr>
        <w:t xml:space="preserve">los cuales </w:t>
      </w:r>
      <w:r w:rsidR="00EB7A66">
        <w:rPr>
          <w:rFonts w:ascii="Arial" w:hAnsi="Arial" w:cs="Arial"/>
        </w:rPr>
        <w:t>han sido divulgados a la comunidad hacendaria:</w:t>
      </w:r>
    </w:p>
    <w:p w14:paraId="490B07F6" w14:textId="77777777" w:rsidR="00EB7A66" w:rsidRDefault="00EB7A66" w:rsidP="00726BE5">
      <w:pPr>
        <w:autoSpaceDE w:val="0"/>
        <w:autoSpaceDN w:val="0"/>
        <w:adjustRightInd w:val="0"/>
        <w:spacing w:after="0" w:line="240" w:lineRule="auto"/>
        <w:contextualSpacing/>
        <w:jc w:val="both"/>
        <w:rPr>
          <w:rFonts w:ascii="Arial" w:hAnsi="Arial" w:cs="Arial"/>
        </w:rPr>
      </w:pPr>
    </w:p>
    <w:p w14:paraId="473D4787" w14:textId="0A2002CD" w:rsidR="00EB7A66" w:rsidRPr="0095213F" w:rsidRDefault="00EB7A66" w:rsidP="0095213F">
      <w:pPr>
        <w:pStyle w:val="Prrafodelista"/>
        <w:numPr>
          <w:ilvl w:val="0"/>
          <w:numId w:val="30"/>
        </w:numPr>
        <w:autoSpaceDE w:val="0"/>
        <w:autoSpaceDN w:val="0"/>
        <w:adjustRightInd w:val="0"/>
        <w:spacing w:after="0" w:line="240" w:lineRule="auto"/>
        <w:ind w:left="360"/>
        <w:jc w:val="both"/>
        <w:rPr>
          <w:rFonts w:ascii="Arial" w:hAnsi="Arial" w:cs="Arial"/>
        </w:rPr>
      </w:pPr>
      <w:r w:rsidRPr="0095213F">
        <w:rPr>
          <w:rFonts w:ascii="Arial" w:hAnsi="Arial" w:cs="Arial"/>
        </w:rPr>
        <w:t xml:space="preserve">Directriz 002-2015 para la aplicación de la Ley General de Control Interno, Normas de Control Interno y Actividades del Sistema Específico de Valoración de Riesgo Institucional para el Ministerio de Hacienda. </w:t>
      </w:r>
    </w:p>
    <w:p w14:paraId="09183ADB" w14:textId="77777777" w:rsidR="0095213F" w:rsidRPr="00AF00A5" w:rsidRDefault="0095213F" w:rsidP="0095213F">
      <w:pPr>
        <w:pStyle w:val="Prrafodelista"/>
        <w:autoSpaceDE w:val="0"/>
        <w:autoSpaceDN w:val="0"/>
        <w:adjustRightInd w:val="0"/>
        <w:spacing w:after="0" w:line="240" w:lineRule="auto"/>
        <w:ind w:left="360"/>
        <w:jc w:val="both"/>
        <w:rPr>
          <w:rFonts w:ascii="Arial" w:hAnsi="Arial" w:cs="Arial"/>
        </w:rPr>
      </w:pPr>
    </w:p>
    <w:p w14:paraId="14EDD3BF" w14:textId="0196A8DF" w:rsidR="00EB7A66" w:rsidRPr="0095213F" w:rsidRDefault="00EB7A66" w:rsidP="0095213F">
      <w:pPr>
        <w:pStyle w:val="Prrafodelista"/>
        <w:numPr>
          <w:ilvl w:val="0"/>
          <w:numId w:val="30"/>
        </w:numPr>
        <w:autoSpaceDE w:val="0"/>
        <w:autoSpaceDN w:val="0"/>
        <w:adjustRightInd w:val="0"/>
        <w:spacing w:after="0" w:line="240" w:lineRule="auto"/>
        <w:ind w:left="360"/>
        <w:jc w:val="both"/>
        <w:rPr>
          <w:rFonts w:ascii="Arial" w:hAnsi="Arial" w:cs="Arial"/>
        </w:rPr>
      </w:pPr>
      <w:r w:rsidRPr="0095213F">
        <w:rPr>
          <w:rFonts w:ascii="Arial" w:hAnsi="Arial" w:cs="Arial"/>
        </w:rPr>
        <w:lastRenderedPageBreak/>
        <w:t>MH-DIPI-PRO01-POL-001 Política del Sistema de Valoración de Riesgo Institucional.</w:t>
      </w:r>
    </w:p>
    <w:p w14:paraId="24C039EC" w14:textId="77777777" w:rsidR="0095213F" w:rsidRPr="0095213F" w:rsidRDefault="0095213F" w:rsidP="0095213F">
      <w:pPr>
        <w:pStyle w:val="Prrafodelista"/>
        <w:ind w:left="360"/>
        <w:rPr>
          <w:rFonts w:ascii="Arial" w:hAnsi="Arial" w:cs="Arial"/>
        </w:rPr>
      </w:pPr>
    </w:p>
    <w:p w14:paraId="02E107BA" w14:textId="1486C733" w:rsidR="00EB7A66" w:rsidRPr="0095213F" w:rsidRDefault="00EB7A66" w:rsidP="0095213F">
      <w:pPr>
        <w:pStyle w:val="Prrafodelista"/>
        <w:numPr>
          <w:ilvl w:val="0"/>
          <w:numId w:val="30"/>
        </w:numPr>
        <w:autoSpaceDE w:val="0"/>
        <w:autoSpaceDN w:val="0"/>
        <w:adjustRightInd w:val="0"/>
        <w:spacing w:after="0" w:line="240" w:lineRule="auto"/>
        <w:ind w:left="360"/>
        <w:jc w:val="both"/>
        <w:rPr>
          <w:rFonts w:ascii="Arial" w:hAnsi="Arial" w:cs="Arial"/>
        </w:rPr>
      </w:pPr>
      <w:r w:rsidRPr="0095213F">
        <w:rPr>
          <w:rFonts w:ascii="Arial" w:hAnsi="Arial" w:cs="Arial"/>
        </w:rPr>
        <w:t>MH-DIPI-PRO01-GUI-001 Guía Metodológica para la Valoración de Riesgo Institucional.</w:t>
      </w:r>
    </w:p>
    <w:p w14:paraId="08D08CF0" w14:textId="77777777" w:rsidR="0095213F" w:rsidRDefault="0095213F" w:rsidP="0095213F">
      <w:pPr>
        <w:autoSpaceDE w:val="0"/>
        <w:autoSpaceDN w:val="0"/>
        <w:adjustRightInd w:val="0"/>
        <w:spacing w:after="0" w:line="240" w:lineRule="auto"/>
        <w:jc w:val="both"/>
        <w:rPr>
          <w:rFonts w:ascii="Arial" w:hAnsi="Arial" w:cs="Arial"/>
        </w:rPr>
      </w:pPr>
    </w:p>
    <w:p w14:paraId="0DF22D09" w14:textId="15DAE003" w:rsidR="00EB7A66" w:rsidRPr="0095213F" w:rsidRDefault="00EB7A66" w:rsidP="0095213F">
      <w:pPr>
        <w:pStyle w:val="Prrafodelista"/>
        <w:numPr>
          <w:ilvl w:val="0"/>
          <w:numId w:val="30"/>
        </w:numPr>
        <w:autoSpaceDE w:val="0"/>
        <w:autoSpaceDN w:val="0"/>
        <w:adjustRightInd w:val="0"/>
        <w:spacing w:after="0" w:line="240" w:lineRule="auto"/>
        <w:ind w:left="360"/>
        <w:jc w:val="both"/>
        <w:rPr>
          <w:rFonts w:ascii="Arial" w:hAnsi="Arial" w:cs="Arial"/>
        </w:rPr>
      </w:pPr>
      <w:r w:rsidRPr="0095213F">
        <w:rPr>
          <w:rFonts w:ascii="Arial" w:hAnsi="Arial" w:cs="Arial"/>
        </w:rPr>
        <w:t>MH-DIPI-PRO01-FOR-001 Herramienta SEVRI.</w:t>
      </w:r>
    </w:p>
    <w:p w14:paraId="1EB66A2C" w14:textId="77777777" w:rsidR="00726BE5" w:rsidRDefault="00726BE5" w:rsidP="00400DCC">
      <w:pPr>
        <w:autoSpaceDE w:val="0"/>
        <w:autoSpaceDN w:val="0"/>
        <w:adjustRightInd w:val="0"/>
        <w:spacing w:after="0" w:line="240" w:lineRule="auto"/>
        <w:contextualSpacing/>
        <w:jc w:val="both"/>
        <w:rPr>
          <w:rFonts w:ascii="Arial" w:hAnsi="Arial" w:cs="Arial"/>
          <w:lang w:eastAsia="es-CR"/>
        </w:rPr>
      </w:pPr>
    </w:p>
    <w:p w14:paraId="5713D16E" w14:textId="62B6805E" w:rsidR="00DD524E" w:rsidRDefault="0095213F" w:rsidP="00DD524E">
      <w:pPr>
        <w:autoSpaceDE w:val="0"/>
        <w:autoSpaceDN w:val="0"/>
        <w:adjustRightInd w:val="0"/>
        <w:spacing w:after="0" w:line="240" w:lineRule="auto"/>
        <w:contextualSpacing/>
        <w:jc w:val="both"/>
        <w:rPr>
          <w:rFonts w:ascii="Arial" w:hAnsi="Arial" w:cs="Arial"/>
        </w:rPr>
      </w:pPr>
      <w:r>
        <w:rPr>
          <w:rFonts w:ascii="Arial" w:hAnsi="Arial" w:cs="Arial"/>
        </w:rPr>
        <w:t>Finalmente</w:t>
      </w:r>
      <w:r w:rsidR="00DD524E" w:rsidRPr="00DD524E">
        <w:rPr>
          <w:rFonts w:ascii="Arial" w:hAnsi="Arial" w:cs="Arial"/>
        </w:rPr>
        <w:t>,</w:t>
      </w:r>
      <w:r w:rsidR="00DD524E">
        <w:rPr>
          <w:rFonts w:ascii="Arial" w:hAnsi="Arial" w:cs="Arial"/>
        </w:rPr>
        <w:t xml:space="preserve"> </w:t>
      </w:r>
      <w:r w:rsidR="00DD524E" w:rsidRPr="00DD524E">
        <w:rPr>
          <w:rFonts w:ascii="Arial" w:hAnsi="Arial" w:cs="Arial"/>
        </w:rPr>
        <w:t xml:space="preserve">de acuerdo con lo establecido en el Decreto N°37735-PLAN, </w:t>
      </w:r>
      <w:r w:rsidR="00DD524E">
        <w:rPr>
          <w:rFonts w:ascii="Arial" w:hAnsi="Arial" w:cs="Arial"/>
        </w:rPr>
        <w:t>“</w:t>
      </w:r>
      <w:r w:rsidR="00DD524E" w:rsidRPr="00DD524E">
        <w:rPr>
          <w:rFonts w:ascii="Arial" w:hAnsi="Arial" w:cs="Arial"/>
        </w:rPr>
        <w:t>Reglamento General del Sistema Nacional de Planificación</w:t>
      </w:r>
      <w:r w:rsidR="00DD524E">
        <w:rPr>
          <w:rFonts w:ascii="Arial" w:hAnsi="Arial" w:cs="Arial"/>
        </w:rPr>
        <w:t>”</w:t>
      </w:r>
      <w:r w:rsidR="005E7AF1" w:rsidRPr="00746275">
        <w:rPr>
          <w:rStyle w:val="Refdenotaalpie"/>
          <w:rFonts w:ascii="Arial" w:hAnsi="Arial" w:cs="Arial"/>
        </w:rPr>
        <w:footnoteReference w:id="5"/>
      </w:r>
      <w:r w:rsidR="00DD524E" w:rsidRPr="00DD524E">
        <w:rPr>
          <w:rFonts w:ascii="Arial" w:hAnsi="Arial" w:cs="Arial"/>
        </w:rPr>
        <w:t xml:space="preserve">, </w:t>
      </w:r>
      <w:r w:rsidR="00DD524E">
        <w:rPr>
          <w:rFonts w:ascii="Arial" w:hAnsi="Arial" w:cs="Arial"/>
        </w:rPr>
        <w:t>las</w:t>
      </w:r>
      <w:r w:rsidR="00DD524E" w:rsidRPr="00DD524E">
        <w:rPr>
          <w:rFonts w:ascii="Arial" w:hAnsi="Arial" w:cs="Arial"/>
        </w:rPr>
        <w:t xml:space="preserve"> Unidades de Planificación Institucional </w:t>
      </w:r>
      <w:r w:rsidR="005E7AF1">
        <w:rPr>
          <w:rFonts w:ascii="Arial" w:hAnsi="Arial" w:cs="Arial"/>
        </w:rPr>
        <w:t xml:space="preserve">(UPI) </w:t>
      </w:r>
      <w:r w:rsidR="00DD524E" w:rsidRPr="00DD524E">
        <w:rPr>
          <w:rFonts w:ascii="Arial" w:hAnsi="Arial" w:cs="Arial"/>
        </w:rPr>
        <w:t>establecidas en los artículos 3º inciso b) y 13 de la Ley de Planificación Nacional</w:t>
      </w:r>
      <w:r w:rsidR="00DD524E">
        <w:rPr>
          <w:rFonts w:ascii="Arial" w:hAnsi="Arial" w:cs="Arial"/>
        </w:rPr>
        <w:t>, tendrán como función el a</w:t>
      </w:r>
      <w:r w:rsidR="00DD524E" w:rsidRPr="00DD524E">
        <w:rPr>
          <w:rFonts w:ascii="Arial" w:hAnsi="Arial" w:cs="Arial"/>
        </w:rPr>
        <w:t>poyar a la o el jerarca institucional en la realización de labores de control interno y valoración de riesgos institucionales, en concordancia con la planificación institucional y conforme a las directrices emitidas por la Contraloría General de la República.</w:t>
      </w:r>
    </w:p>
    <w:p w14:paraId="40AEE8BA" w14:textId="77777777" w:rsidR="00412E8C" w:rsidRPr="005C14D7" w:rsidRDefault="005E7AF1" w:rsidP="00400DCC">
      <w:pPr>
        <w:autoSpaceDE w:val="0"/>
        <w:autoSpaceDN w:val="0"/>
        <w:adjustRightInd w:val="0"/>
        <w:spacing w:after="0" w:line="240" w:lineRule="auto"/>
        <w:contextualSpacing/>
        <w:jc w:val="both"/>
        <w:rPr>
          <w:rFonts w:ascii="Arial" w:hAnsi="Arial" w:cs="Arial"/>
          <w:sz w:val="18"/>
          <w:lang w:eastAsia="es-CR"/>
        </w:rPr>
      </w:pPr>
      <w:r>
        <w:rPr>
          <w:rFonts w:ascii="Arial" w:hAnsi="Arial" w:cs="Arial"/>
          <w:sz w:val="18"/>
          <w:lang w:eastAsia="es-CR"/>
        </w:rPr>
        <w:t xml:space="preserve"> </w:t>
      </w:r>
    </w:p>
    <w:p w14:paraId="112309A8" w14:textId="77777777" w:rsidR="007A4F9E" w:rsidRDefault="0055222A" w:rsidP="005E2572">
      <w:pPr>
        <w:pStyle w:val="Ttulo1"/>
        <w:keepNext w:val="0"/>
        <w:keepLines w:val="0"/>
        <w:numPr>
          <w:ilvl w:val="0"/>
          <w:numId w:val="19"/>
        </w:numPr>
        <w:spacing w:before="0" w:after="0"/>
        <w:ind w:left="576" w:right="51" w:hanging="576"/>
        <w:contextualSpacing/>
        <w:jc w:val="both"/>
        <w:rPr>
          <w:rFonts w:ascii="Arial" w:hAnsi="Arial" w:cs="Arial"/>
          <w:b/>
          <w:bCs/>
          <w:color w:val="44546A" w:themeColor="text2"/>
          <w:kern w:val="28"/>
          <w:sz w:val="28"/>
          <w:szCs w:val="28"/>
          <w:lang w:eastAsia="es-ES"/>
        </w:rPr>
      </w:pPr>
      <w:bookmarkStart w:id="43" w:name="_Toc390783329"/>
      <w:bookmarkStart w:id="44" w:name="_Toc125702634"/>
      <w:r w:rsidRPr="007A4F9E">
        <w:rPr>
          <w:rFonts w:ascii="Arial" w:hAnsi="Arial" w:cs="Arial"/>
          <w:b/>
          <w:bCs/>
          <w:color w:val="44546A" w:themeColor="text2"/>
          <w:kern w:val="28"/>
          <w:sz w:val="28"/>
          <w:szCs w:val="28"/>
          <w:lang w:eastAsia="es-ES"/>
        </w:rPr>
        <w:t>RESULTADOS</w:t>
      </w:r>
      <w:bookmarkStart w:id="45" w:name="_Hlk87436709"/>
      <w:bookmarkStart w:id="46" w:name="_Toc390783332"/>
      <w:bookmarkEnd w:id="43"/>
      <w:bookmarkEnd w:id="44"/>
    </w:p>
    <w:p w14:paraId="08361C98" w14:textId="77777777" w:rsidR="0089610A" w:rsidRDefault="0089610A" w:rsidP="0089610A">
      <w:pPr>
        <w:rPr>
          <w:lang w:eastAsia="es-ES"/>
        </w:rPr>
      </w:pPr>
    </w:p>
    <w:p w14:paraId="1EF3AD4A" w14:textId="128FA7C8" w:rsidR="00C62D0A" w:rsidRDefault="00C62D0A" w:rsidP="00C62D0A">
      <w:pPr>
        <w:pStyle w:val="Ttulo1"/>
        <w:keepNext w:val="0"/>
        <w:keepLines w:val="0"/>
        <w:spacing w:before="0" w:after="0"/>
        <w:ind w:left="567" w:right="51" w:hanging="567"/>
        <w:contextualSpacing/>
        <w:jc w:val="both"/>
        <w:rPr>
          <w:rFonts w:ascii="Arial" w:hAnsi="Arial" w:cs="Arial"/>
          <w:b/>
          <w:color w:val="44546A" w:themeColor="text2"/>
          <w:sz w:val="22"/>
          <w:szCs w:val="22"/>
          <w:lang w:val="es-ES_tradnl" w:eastAsia="es-ES"/>
        </w:rPr>
      </w:pPr>
      <w:bookmarkStart w:id="47" w:name="_Toc125702635"/>
      <w:r w:rsidRPr="00412E8C">
        <w:rPr>
          <w:rFonts w:ascii="Arial" w:hAnsi="Arial" w:cs="Arial"/>
          <w:b/>
          <w:color w:val="44546A" w:themeColor="text2"/>
          <w:sz w:val="22"/>
          <w:szCs w:val="22"/>
          <w:lang w:val="es-ES_tradnl" w:eastAsia="es-ES"/>
        </w:rPr>
        <w:t xml:space="preserve">2.1 Sobre </w:t>
      </w:r>
      <w:r w:rsidRPr="00C62D0A">
        <w:rPr>
          <w:rFonts w:ascii="Arial" w:hAnsi="Arial" w:cs="Arial"/>
          <w:b/>
          <w:color w:val="44546A" w:themeColor="text2"/>
          <w:sz w:val="22"/>
          <w:szCs w:val="22"/>
          <w:lang w:val="es-ES_tradnl" w:eastAsia="es-ES"/>
        </w:rPr>
        <w:t>el establecimiento del Sistema Específico de Valoración del Riesgo Institucional</w:t>
      </w:r>
      <w:bookmarkEnd w:id="47"/>
    </w:p>
    <w:bookmarkEnd w:id="45"/>
    <w:p w14:paraId="054BC0F6" w14:textId="77B49D05" w:rsidR="00A4533E" w:rsidRDefault="00A4533E" w:rsidP="00E03114">
      <w:pPr>
        <w:spacing w:after="0" w:line="240" w:lineRule="auto"/>
        <w:contextualSpacing/>
        <w:rPr>
          <w:rFonts w:ascii="Arial" w:hAnsi="Arial" w:cs="Arial"/>
          <w:b/>
          <w:sz w:val="24"/>
        </w:rPr>
      </w:pPr>
    </w:p>
    <w:p w14:paraId="66F8B011" w14:textId="2BADB063" w:rsidR="008A4A6D" w:rsidRDefault="008A4A6D" w:rsidP="008A4A6D">
      <w:pPr>
        <w:spacing w:after="0" w:line="240" w:lineRule="auto"/>
        <w:contextualSpacing/>
        <w:jc w:val="both"/>
        <w:rPr>
          <w:rFonts w:ascii="Arial" w:hAnsi="Arial" w:cs="Arial"/>
          <w:b/>
          <w:sz w:val="24"/>
        </w:rPr>
      </w:pPr>
      <w:r w:rsidRPr="008A4A6D">
        <w:rPr>
          <w:rFonts w:ascii="Arial" w:hAnsi="Arial" w:cs="Arial"/>
        </w:rPr>
        <w:t>En los siguientes apartados se indica las oportunidades de mejora que tiene el Ministerio de Hacienda con respecto a la unificación de los documentos que conforman el Marco Orientador del SEVRI, actualización de la Directriz N°002-2015 y la conformación del componente denominado “Ambiente de Apoyo”.</w:t>
      </w:r>
    </w:p>
    <w:p w14:paraId="4CD7A920" w14:textId="77777777" w:rsidR="008A4A6D" w:rsidRDefault="008A4A6D" w:rsidP="008A4A6D">
      <w:pPr>
        <w:spacing w:after="0" w:line="240" w:lineRule="auto"/>
        <w:contextualSpacing/>
        <w:jc w:val="both"/>
        <w:rPr>
          <w:rFonts w:ascii="Arial" w:hAnsi="Arial" w:cs="Arial"/>
          <w:b/>
          <w:sz w:val="24"/>
        </w:rPr>
      </w:pPr>
    </w:p>
    <w:p w14:paraId="46363F03" w14:textId="04A98DE1" w:rsidR="007F0DF9" w:rsidRDefault="007F0DF9" w:rsidP="007F0DF9">
      <w:pPr>
        <w:pStyle w:val="Ttulo1"/>
        <w:keepNext w:val="0"/>
        <w:keepLines w:val="0"/>
        <w:spacing w:before="0" w:after="0"/>
        <w:ind w:left="567" w:right="51" w:hanging="567"/>
        <w:contextualSpacing/>
        <w:jc w:val="both"/>
        <w:rPr>
          <w:rFonts w:ascii="Arial" w:hAnsi="Arial" w:cs="Arial"/>
          <w:b/>
          <w:color w:val="44546A" w:themeColor="text2"/>
          <w:sz w:val="22"/>
          <w:lang w:val="es-ES_tradnl" w:eastAsia="es-ES"/>
        </w:rPr>
      </w:pPr>
      <w:bookmarkStart w:id="48" w:name="_Hlk124772959"/>
      <w:bookmarkStart w:id="49" w:name="_Toc125702636"/>
      <w:r w:rsidRPr="00412E8C">
        <w:rPr>
          <w:rFonts w:ascii="Arial" w:hAnsi="Arial" w:cs="Arial"/>
          <w:b/>
          <w:color w:val="44546A" w:themeColor="text2"/>
          <w:sz w:val="22"/>
          <w:szCs w:val="22"/>
          <w:lang w:val="es-ES_tradnl" w:eastAsia="es-ES"/>
        </w:rPr>
        <w:t>2.1</w:t>
      </w:r>
      <w:r>
        <w:rPr>
          <w:rFonts w:ascii="Arial" w:hAnsi="Arial" w:cs="Arial"/>
          <w:b/>
          <w:color w:val="44546A" w:themeColor="text2"/>
          <w:sz w:val="22"/>
          <w:szCs w:val="22"/>
          <w:lang w:val="es-ES_tradnl" w:eastAsia="es-ES"/>
        </w:rPr>
        <w:t>.1</w:t>
      </w:r>
      <w:bookmarkEnd w:id="48"/>
      <w:r w:rsidRPr="00412E8C">
        <w:rPr>
          <w:rFonts w:ascii="Arial" w:hAnsi="Arial" w:cs="Arial"/>
          <w:b/>
          <w:color w:val="44546A" w:themeColor="text2"/>
          <w:sz w:val="22"/>
          <w:szCs w:val="22"/>
          <w:lang w:val="es-ES_tradnl" w:eastAsia="es-ES"/>
        </w:rPr>
        <w:t xml:space="preserve"> Sobre </w:t>
      </w:r>
      <w:r w:rsidR="00D04D71">
        <w:rPr>
          <w:rFonts w:ascii="Arial" w:hAnsi="Arial" w:cs="Arial"/>
          <w:b/>
          <w:color w:val="44546A" w:themeColor="text2"/>
          <w:sz w:val="22"/>
          <w:szCs w:val="22"/>
          <w:lang w:val="es-ES_tradnl" w:eastAsia="es-ES"/>
        </w:rPr>
        <w:t xml:space="preserve">la </w:t>
      </w:r>
      <w:bookmarkStart w:id="50" w:name="_Hlk124770556"/>
      <w:r w:rsidR="0084774A">
        <w:rPr>
          <w:rFonts w:ascii="Arial" w:hAnsi="Arial" w:cs="Arial"/>
          <w:b/>
          <w:color w:val="44546A" w:themeColor="text2"/>
          <w:sz w:val="22"/>
          <w:szCs w:val="22"/>
          <w:lang w:val="es-ES_tradnl" w:eastAsia="es-ES"/>
        </w:rPr>
        <w:t xml:space="preserve">necesidad </w:t>
      </w:r>
      <w:r w:rsidR="004F5B05">
        <w:rPr>
          <w:rFonts w:ascii="Arial" w:hAnsi="Arial" w:cs="Arial"/>
          <w:b/>
          <w:color w:val="44546A" w:themeColor="text2"/>
          <w:sz w:val="22"/>
          <w:szCs w:val="22"/>
          <w:lang w:val="es-ES_tradnl" w:eastAsia="es-ES"/>
        </w:rPr>
        <w:t>unificar</w:t>
      </w:r>
      <w:r w:rsidR="00C7155E">
        <w:rPr>
          <w:rFonts w:ascii="Arial" w:hAnsi="Arial" w:cs="Arial"/>
          <w:b/>
          <w:color w:val="44546A" w:themeColor="text2"/>
          <w:sz w:val="22"/>
          <w:szCs w:val="22"/>
          <w:lang w:val="es-ES_tradnl" w:eastAsia="es-ES"/>
        </w:rPr>
        <w:t xml:space="preserve"> </w:t>
      </w:r>
      <w:r w:rsidR="00D04D71">
        <w:rPr>
          <w:rFonts w:ascii="Arial" w:hAnsi="Arial" w:cs="Arial"/>
          <w:b/>
          <w:color w:val="44546A" w:themeColor="text2"/>
          <w:sz w:val="22"/>
          <w:szCs w:val="22"/>
          <w:lang w:val="es-ES_tradnl" w:eastAsia="es-ES"/>
        </w:rPr>
        <w:t xml:space="preserve">los </w:t>
      </w:r>
      <w:r w:rsidR="00D04D71" w:rsidRPr="00D04D71">
        <w:rPr>
          <w:rFonts w:ascii="Arial" w:hAnsi="Arial" w:cs="Arial"/>
          <w:b/>
          <w:color w:val="44546A" w:themeColor="text2"/>
          <w:sz w:val="22"/>
          <w:szCs w:val="22"/>
          <w:lang w:val="es-ES_tradnl" w:eastAsia="es-ES"/>
        </w:rPr>
        <w:t>documentos que conforman el Marco orientador del SEVRI en el Ministerio de Hacienda</w:t>
      </w:r>
      <w:bookmarkEnd w:id="50"/>
      <w:bookmarkEnd w:id="49"/>
    </w:p>
    <w:p w14:paraId="2A1C1EEC" w14:textId="77777777" w:rsidR="007F0DF9" w:rsidRDefault="007F0DF9" w:rsidP="007F0DF9">
      <w:pPr>
        <w:pStyle w:val="Ttulo1"/>
        <w:keepNext w:val="0"/>
        <w:keepLines w:val="0"/>
        <w:spacing w:before="0" w:after="0"/>
        <w:ind w:left="567" w:right="51" w:hanging="567"/>
        <w:contextualSpacing/>
        <w:jc w:val="both"/>
        <w:rPr>
          <w:rFonts w:ascii="Arial" w:hAnsi="Arial" w:cs="Arial"/>
          <w:b/>
          <w:color w:val="44546A" w:themeColor="text2"/>
          <w:sz w:val="22"/>
          <w:lang w:val="es-ES_tradnl" w:eastAsia="es-ES"/>
        </w:rPr>
      </w:pPr>
    </w:p>
    <w:p w14:paraId="13DB0C7E" w14:textId="77777777" w:rsidR="00300064" w:rsidRPr="00AF00A5" w:rsidRDefault="00300064" w:rsidP="00300064">
      <w:pPr>
        <w:tabs>
          <w:tab w:val="center" w:pos="4678"/>
          <w:tab w:val="right" w:pos="9498"/>
        </w:tabs>
        <w:spacing w:after="0" w:line="240" w:lineRule="auto"/>
        <w:jc w:val="both"/>
        <w:rPr>
          <w:rFonts w:ascii="Arial" w:hAnsi="Arial" w:cs="Arial"/>
        </w:rPr>
      </w:pPr>
      <w:r w:rsidRPr="008A4A6D">
        <w:rPr>
          <w:rFonts w:ascii="Arial" w:hAnsi="Arial" w:cs="Arial"/>
        </w:rPr>
        <w:t>Las Normas de Control Interno para el Sector Público (N-2-2009-CO-DFOE) emitidas por la Contraloría General de la República, en el Capítulo V: Normas sobre sistemas de información, refieren en el apartado 5.1, lo siguiente:</w:t>
      </w:r>
      <w:r w:rsidRPr="00AF00A5">
        <w:rPr>
          <w:rFonts w:ascii="Arial" w:hAnsi="Arial" w:cs="Arial"/>
        </w:rPr>
        <w:t xml:space="preserve"> </w:t>
      </w:r>
    </w:p>
    <w:p w14:paraId="557AFF8F" w14:textId="77777777" w:rsidR="00300064" w:rsidRPr="00E63AF7" w:rsidRDefault="00300064" w:rsidP="00300064">
      <w:pPr>
        <w:autoSpaceDE w:val="0"/>
        <w:autoSpaceDN w:val="0"/>
        <w:spacing w:line="240" w:lineRule="atLeast"/>
        <w:contextualSpacing/>
        <w:jc w:val="both"/>
        <w:rPr>
          <w:rFonts w:ascii="Arial" w:hAnsi="Arial" w:cs="Arial"/>
        </w:rPr>
      </w:pPr>
    </w:p>
    <w:p w14:paraId="6AAAFD38" w14:textId="77777777" w:rsidR="00300064" w:rsidRDefault="00300064" w:rsidP="00300064">
      <w:pPr>
        <w:autoSpaceDE w:val="0"/>
        <w:autoSpaceDN w:val="0"/>
        <w:adjustRightInd w:val="0"/>
        <w:spacing w:after="0"/>
        <w:ind w:left="993" w:right="1275"/>
        <w:jc w:val="both"/>
        <w:rPr>
          <w:rFonts w:ascii="Arial" w:hAnsi="Arial" w:cs="Arial"/>
          <w:i/>
          <w:iCs/>
          <w:color w:val="000000"/>
        </w:rPr>
      </w:pPr>
      <w:r w:rsidRPr="001F7839">
        <w:rPr>
          <w:rFonts w:ascii="Arial" w:hAnsi="Arial" w:cs="Arial"/>
          <w:i/>
        </w:rPr>
        <w:t xml:space="preserve">“El jerarca y los titulares subordinados, según sus competencias, deben disponer los elementos y condiciones necesarias para que de manera </w:t>
      </w:r>
      <w:r w:rsidRPr="00F272BA">
        <w:rPr>
          <w:rFonts w:ascii="Arial" w:hAnsi="Arial" w:cs="Arial"/>
          <w:i/>
        </w:rPr>
        <w:t>organizada, uniforme, consistente y oportuna se ejecuten las actividades de obtener, procesar, generar y comunicar, en forma eficaz, eficiente y económica, y con apego al bloque de legalidad, la información de la gestión institucional y otra de interés para la consecución de los objetivos institucionales. El</w:t>
      </w:r>
      <w:r w:rsidRPr="001F7839">
        <w:rPr>
          <w:rFonts w:ascii="Arial" w:hAnsi="Arial" w:cs="Arial"/>
          <w:i/>
        </w:rPr>
        <w:t xml:space="preserve"> conjunto de esos elementos y condiciones con las características y fines indicados, se denomina sistema de información, los cuales pueden instaurarse en forma manual, automatizada, o ambas</w:t>
      </w:r>
      <w:r w:rsidRPr="00BD6956">
        <w:rPr>
          <w:rFonts w:ascii="Arial" w:hAnsi="Arial" w:cs="Arial"/>
          <w:i/>
          <w:iCs/>
          <w:color w:val="000000"/>
        </w:rPr>
        <w:t>”</w:t>
      </w:r>
    </w:p>
    <w:p w14:paraId="3CC1393E" w14:textId="77777777" w:rsidR="00300064" w:rsidRDefault="00300064" w:rsidP="00E03114">
      <w:pPr>
        <w:spacing w:after="0" w:line="240" w:lineRule="auto"/>
        <w:contextualSpacing/>
        <w:rPr>
          <w:rFonts w:ascii="Arial" w:hAnsi="Arial" w:cs="Arial"/>
          <w:b/>
          <w:sz w:val="24"/>
        </w:rPr>
      </w:pPr>
    </w:p>
    <w:p w14:paraId="5BBDC894" w14:textId="5C0A796E" w:rsidR="007E02B1" w:rsidRPr="007E02B1" w:rsidRDefault="00641AA2" w:rsidP="00AF00A5">
      <w:pPr>
        <w:tabs>
          <w:tab w:val="center" w:pos="4678"/>
          <w:tab w:val="right" w:pos="9498"/>
        </w:tabs>
        <w:spacing w:after="0" w:line="240" w:lineRule="auto"/>
        <w:jc w:val="both"/>
        <w:rPr>
          <w:rFonts w:ascii="Arial" w:hAnsi="Arial" w:cs="Arial"/>
        </w:rPr>
      </w:pPr>
      <w:r>
        <w:rPr>
          <w:rFonts w:ascii="Arial" w:hAnsi="Arial" w:cs="Arial"/>
        </w:rPr>
        <w:t xml:space="preserve">Al respecto, </w:t>
      </w:r>
      <w:r w:rsidR="007E02B1" w:rsidRPr="00AF00A5">
        <w:rPr>
          <w:rFonts w:ascii="Arial" w:hAnsi="Arial" w:cs="Arial"/>
        </w:rPr>
        <w:t xml:space="preserve">el Ministerio de Hacienda ha oficializado </w:t>
      </w:r>
      <w:bookmarkStart w:id="51" w:name="_Hlk124770304"/>
      <w:r w:rsidR="007E02B1" w:rsidRPr="00AF00A5">
        <w:rPr>
          <w:rFonts w:ascii="Arial" w:hAnsi="Arial" w:cs="Arial"/>
        </w:rPr>
        <w:t xml:space="preserve">diferentes </w:t>
      </w:r>
      <w:bookmarkStart w:id="52" w:name="_Hlk124770497"/>
      <w:r w:rsidR="007E02B1" w:rsidRPr="00AF00A5">
        <w:rPr>
          <w:rFonts w:ascii="Arial" w:hAnsi="Arial" w:cs="Arial"/>
        </w:rPr>
        <w:t>documentos</w:t>
      </w:r>
      <w:r w:rsidR="00F50507" w:rsidRPr="00AF00A5">
        <w:rPr>
          <w:rFonts w:ascii="Arial" w:hAnsi="Arial" w:cs="Arial"/>
        </w:rPr>
        <w:t xml:space="preserve"> que conforman </w:t>
      </w:r>
      <w:r w:rsidR="007E02B1" w:rsidRPr="00AF00A5">
        <w:rPr>
          <w:rFonts w:ascii="Arial" w:hAnsi="Arial" w:cs="Arial"/>
        </w:rPr>
        <w:t xml:space="preserve">el </w:t>
      </w:r>
      <w:bookmarkStart w:id="53" w:name="_Hlk124857882"/>
      <w:r w:rsidR="007E02B1" w:rsidRPr="009B3941">
        <w:rPr>
          <w:rFonts w:ascii="Arial" w:hAnsi="Arial" w:cs="Arial"/>
        </w:rPr>
        <w:t>Marco orientador del SEVRI</w:t>
      </w:r>
      <w:r w:rsidR="00F50507">
        <w:rPr>
          <w:rFonts w:ascii="Arial" w:hAnsi="Arial" w:cs="Arial"/>
        </w:rPr>
        <w:t xml:space="preserve"> en el Ministerio de Hacienda</w:t>
      </w:r>
      <w:bookmarkEnd w:id="51"/>
      <w:bookmarkEnd w:id="52"/>
      <w:bookmarkEnd w:id="53"/>
      <w:r w:rsidR="00F50507">
        <w:rPr>
          <w:rFonts w:ascii="Arial" w:hAnsi="Arial" w:cs="Arial"/>
        </w:rPr>
        <w:t>, a saber:</w:t>
      </w:r>
    </w:p>
    <w:p w14:paraId="1AC4B36E" w14:textId="77777777" w:rsidR="007E02B1" w:rsidRDefault="007E02B1" w:rsidP="00822865">
      <w:pPr>
        <w:spacing w:after="0" w:line="240" w:lineRule="auto"/>
        <w:contextualSpacing/>
        <w:jc w:val="both"/>
        <w:rPr>
          <w:rFonts w:ascii="Arial" w:hAnsi="Arial" w:cs="Arial"/>
          <w:lang w:val="es-MX"/>
        </w:rPr>
      </w:pPr>
    </w:p>
    <w:p w14:paraId="07243863" w14:textId="08841261" w:rsidR="00F50507" w:rsidRDefault="00F50507" w:rsidP="008A4A6D">
      <w:pPr>
        <w:pStyle w:val="Prrafodelista"/>
        <w:numPr>
          <w:ilvl w:val="0"/>
          <w:numId w:val="26"/>
        </w:numPr>
        <w:autoSpaceDE w:val="0"/>
        <w:autoSpaceDN w:val="0"/>
        <w:adjustRightInd w:val="0"/>
        <w:spacing w:after="0" w:line="240" w:lineRule="auto"/>
        <w:ind w:left="360"/>
        <w:jc w:val="both"/>
        <w:rPr>
          <w:rFonts w:ascii="Arial" w:hAnsi="Arial" w:cs="Arial"/>
          <w:lang w:eastAsia="es-CR"/>
        </w:rPr>
      </w:pPr>
      <w:r w:rsidRPr="00EB7A66">
        <w:rPr>
          <w:rFonts w:ascii="Arial" w:hAnsi="Arial" w:cs="Arial"/>
          <w:lang w:eastAsia="es-CR"/>
        </w:rPr>
        <w:t>Directriz 002-2015 para la aplicación de la Ley General de Control Interno, Normas de Control Interno y Actividades del Sistema Específico de Valoración de Riesgo Institucional para el Ministerio de Hacienda</w:t>
      </w:r>
      <w:r w:rsidR="00C7155E">
        <w:rPr>
          <w:rFonts w:ascii="Arial" w:hAnsi="Arial" w:cs="Arial"/>
          <w:lang w:eastAsia="es-CR"/>
        </w:rPr>
        <w:t xml:space="preserve">, </w:t>
      </w:r>
      <w:r w:rsidR="00C7155E" w:rsidRPr="00C7155E">
        <w:rPr>
          <w:rFonts w:ascii="Arial" w:hAnsi="Arial" w:cs="Arial"/>
          <w:lang w:eastAsia="es-CR"/>
        </w:rPr>
        <w:t>del 24 de agosto de 2015</w:t>
      </w:r>
      <w:r w:rsidRPr="00EB7A66">
        <w:rPr>
          <w:rFonts w:ascii="Arial" w:hAnsi="Arial" w:cs="Arial"/>
          <w:lang w:eastAsia="es-CR"/>
        </w:rPr>
        <w:t xml:space="preserve">. </w:t>
      </w:r>
    </w:p>
    <w:p w14:paraId="4DC1B7E1" w14:textId="77777777" w:rsidR="008A4A6D" w:rsidRPr="00EB7A66" w:rsidRDefault="008A4A6D" w:rsidP="008A4A6D">
      <w:pPr>
        <w:pStyle w:val="Prrafodelista"/>
        <w:autoSpaceDE w:val="0"/>
        <w:autoSpaceDN w:val="0"/>
        <w:adjustRightInd w:val="0"/>
        <w:spacing w:after="0" w:line="240" w:lineRule="auto"/>
        <w:ind w:left="360"/>
        <w:jc w:val="both"/>
        <w:rPr>
          <w:rFonts w:ascii="Arial" w:hAnsi="Arial" w:cs="Arial"/>
          <w:lang w:eastAsia="es-CR"/>
        </w:rPr>
      </w:pPr>
    </w:p>
    <w:p w14:paraId="1393F500" w14:textId="77777777" w:rsidR="00F50507" w:rsidRPr="00EB7A66" w:rsidRDefault="00F50507" w:rsidP="008A4A6D">
      <w:pPr>
        <w:pStyle w:val="Prrafodelista"/>
        <w:numPr>
          <w:ilvl w:val="0"/>
          <w:numId w:val="26"/>
        </w:numPr>
        <w:autoSpaceDE w:val="0"/>
        <w:autoSpaceDN w:val="0"/>
        <w:adjustRightInd w:val="0"/>
        <w:spacing w:after="0" w:line="240" w:lineRule="auto"/>
        <w:ind w:left="360"/>
        <w:jc w:val="both"/>
        <w:rPr>
          <w:rFonts w:ascii="Arial" w:hAnsi="Arial" w:cs="Arial"/>
          <w:lang w:eastAsia="es-CR"/>
        </w:rPr>
      </w:pPr>
      <w:bookmarkStart w:id="54" w:name="_Hlk125017437"/>
      <w:r w:rsidRPr="00EB7A66">
        <w:rPr>
          <w:rFonts w:ascii="Arial" w:hAnsi="Arial" w:cs="Arial"/>
          <w:lang w:eastAsia="es-CR"/>
        </w:rPr>
        <w:lastRenderedPageBreak/>
        <w:t>MH-DIPI-PRO01-POL-001 Política del Sistema de Valoración de Riesgo Institucional</w:t>
      </w:r>
      <w:r w:rsidR="00C7155E">
        <w:rPr>
          <w:rFonts w:ascii="Arial" w:hAnsi="Arial" w:cs="Arial"/>
          <w:lang w:eastAsia="es-CR"/>
        </w:rPr>
        <w:t>, noviembre del 2022</w:t>
      </w:r>
      <w:r w:rsidRPr="00EB7A66">
        <w:rPr>
          <w:rFonts w:ascii="Arial" w:hAnsi="Arial" w:cs="Arial"/>
          <w:lang w:eastAsia="es-CR"/>
        </w:rPr>
        <w:t>.</w:t>
      </w:r>
    </w:p>
    <w:p w14:paraId="2E2ABBF8" w14:textId="77777777" w:rsidR="00F50507" w:rsidRPr="00EB7A66" w:rsidRDefault="00F50507" w:rsidP="008A4A6D">
      <w:pPr>
        <w:pStyle w:val="Prrafodelista"/>
        <w:numPr>
          <w:ilvl w:val="0"/>
          <w:numId w:val="26"/>
        </w:numPr>
        <w:autoSpaceDE w:val="0"/>
        <w:autoSpaceDN w:val="0"/>
        <w:adjustRightInd w:val="0"/>
        <w:spacing w:after="0" w:line="240" w:lineRule="auto"/>
        <w:ind w:left="360"/>
        <w:jc w:val="both"/>
        <w:rPr>
          <w:rFonts w:ascii="Arial" w:hAnsi="Arial" w:cs="Arial"/>
          <w:lang w:eastAsia="es-CR"/>
        </w:rPr>
      </w:pPr>
      <w:r w:rsidRPr="00EB7A66">
        <w:rPr>
          <w:rFonts w:ascii="Arial" w:hAnsi="Arial" w:cs="Arial"/>
          <w:lang w:eastAsia="es-CR"/>
        </w:rPr>
        <w:t>MH-DIPI-PRO01-GUI-001 Guía Metodológica para la Valoración de Riesgo Institucional</w:t>
      </w:r>
      <w:r w:rsidR="00C7155E">
        <w:rPr>
          <w:rFonts w:ascii="Arial" w:hAnsi="Arial" w:cs="Arial"/>
          <w:lang w:eastAsia="es-CR"/>
        </w:rPr>
        <w:t>, agosto del 2020</w:t>
      </w:r>
      <w:r w:rsidRPr="00EB7A66">
        <w:rPr>
          <w:rFonts w:ascii="Arial" w:hAnsi="Arial" w:cs="Arial"/>
          <w:lang w:eastAsia="es-CR"/>
        </w:rPr>
        <w:t>.</w:t>
      </w:r>
    </w:p>
    <w:p w14:paraId="3921AFBB" w14:textId="77777777" w:rsidR="007E02B1" w:rsidRDefault="007E02B1" w:rsidP="00822865">
      <w:pPr>
        <w:spacing w:after="0" w:line="240" w:lineRule="auto"/>
        <w:contextualSpacing/>
        <w:jc w:val="both"/>
        <w:rPr>
          <w:rFonts w:ascii="Arial" w:hAnsi="Arial" w:cs="Arial"/>
          <w:lang w:val="es-MX"/>
        </w:rPr>
      </w:pPr>
    </w:p>
    <w:bookmarkEnd w:id="54"/>
    <w:p w14:paraId="5C5F6642" w14:textId="2952B5A0" w:rsidR="00FD06D0" w:rsidRDefault="00FD06D0" w:rsidP="00FD06D0">
      <w:pPr>
        <w:spacing w:after="0" w:line="240" w:lineRule="auto"/>
        <w:contextualSpacing/>
        <w:jc w:val="both"/>
        <w:rPr>
          <w:rFonts w:ascii="Arial" w:hAnsi="Arial" w:cs="Arial"/>
          <w:lang w:val="es-MX"/>
        </w:rPr>
      </w:pPr>
      <w:r>
        <w:rPr>
          <w:rFonts w:ascii="Arial" w:hAnsi="Arial" w:cs="Arial"/>
          <w:lang w:val="es-MX"/>
        </w:rPr>
        <w:t xml:space="preserve">Sin embargo, estos documentos </w:t>
      </w:r>
      <w:bookmarkStart w:id="55" w:name="_Hlk125014484"/>
      <w:r>
        <w:rPr>
          <w:rFonts w:ascii="Arial" w:hAnsi="Arial" w:cs="Arial"/>
          <w:lang w:val="es-MX"/>
        </w:rPr>
        <w:t xml:space="preserve">tienen requerimientos que responden a otros elementos que deberá comprender </w:t>
      </w:r>
      <w:r w:rsidR="008A4F9F">
        <w:rPr>
          <w:rFonts w:ascii="Arial" w:hAnsi="Arial" w:cs="Arial"/>
          <w:lang w:val="es-MX"/>
        </w:rPr>
        <w:t xml:space="preserve">el </w:t>
      </w:r>
      <w:r w:rsidR="0083515A" w:rsidRPr="0083515A">
        <w:rPr>
          <w:rFonts w:ascii="Arial" w:hAnsi="Arial" w:cs="Arial"/>
          <w:lang w:val="es-MX"/>
        </w:rPr>
        <w:t>componente denominado “Marco orientador”</w:t>
      </w:r>
      <w:r w:rsidRPr="00746275">
        <w:rPr>
          <w:rStyle w:val="Refdenotaalpie"/>
          <w:rFonts w:ascii="Arial" w:hAnsi="Arial" w:cs="Arial"/>
        </w:rPr>
        <w:footnoteReference w:id="6"/>
      </w:r>
      <w:bookmarkEnd w:id="55"/>
      <w:r>
        <w:rPr>
          <w:rFonts w:ascii="Arial" w:hAnsi="Arial" w:cs="Arial"/>
          <w:lang w:val="es-MX"/>
        </w:rPr>
        <w:t>; por ejemplo</w:t>
      </w:r>
      <w:r w:rsidR="004F49E3">
        <w:rPr>
          <w:rFonts w:ascii="Arial" w:hAnsi="Arial" w:cs="Arial"/>
          <w:lang w:val="es-MX"/>
        </w:rPr>
        <w:t>:</w:t>
      </w:r>
      <w:r>
        <w:rPr>
          <w:rFonts w:ascii="Arial" w:hAnsi="Arial" w:cs="Arial"/>
          <w:lang w:val="es-MX"/>
        </w:rPr>
        <w:t xml:space="preserve"> los </w:t>
      </w:r>
      <w:r w:rsidRPr="00522D4A">
        <w:rPr>
          <w:rFonts w:ascii="Arial" w:hAnsi="Arial" w:cs="Arial"/>
          <w:lang w:val="es-MX"/>
        </w:rPr>
        <w:t>lineamientos institucionales para el establecimiento de niveles de riesgo aceptables</w:t>
      </w:r>
      <w:r>
        <w:rPr>
          <w:rFonts w:ascii="Arial" w:hAnsi="Arial" w:cs="Arial"/>
          <w:lang w:val="es-MX"/>
        </w:rPr>
        <w:t xml:space="preserve">, se encuentran definidos </w:t>
      </w:r>
      <w:r w:rsidR="00EA49E7">
        <w:rPr>
          <w:rFonts w:ascii="Arial" w:hAnsi="Arial" w:cs="Arial"/>
          <w:lang w:val="es-MX"/>
        </w:rPr>
        <w:t xml:space="preserve">dentro de </w:t>
      </w:r>
      <w:r>
        <w:rPr>
          <w:rFonts w:ascii="Arial" w:hAnsi="Arial" w:cs="Arial"/>
          <w:lang w:val="es-MX"/>
        </w:rPr>
        <w:t xml:space="preserve">la estrategia del SEVRI; no obstante, forman parte de lo que </w:t>
      </w:r>
      <w:r w:rsidRPr="00FD06D0">
        <w:rPr>
          <w:rFonts w:ascii="Arial" w:hAnsi="Arial" w:cs="Arial"/>
          <w:lang w:val="es-MX"/>
        </w:rPr>
        <w:t>deberá contener</w:t>
      </w:r>
      <w:r w:rsidR="00225E38">
        <w:rPr>
          <w:rFonts w:ascii="Arial" w:hAnsi="Arial" w:cs="Arial"/>
          <w:lang w:val="es-MX"/>
        </w:rPr>
        <w:t xml:space="preserve"> </w:t>
      </w:r>
      <w:r>
        <w:rPr>
          <w:rFonts w:ascii="Arial" w:hAnsi="Arial" w:cs="Arial"/>
          <w:lang w:val="es-MX"/>
        </w:rPr>
        <w:t>l</w:t>
      </w:r>
      <w:r w:rsidRPr="00FD06D0">
        <w:rPr>
          <w:rFonts w:ascii="Arial" w:hAnsi="Arial" w:cs="Arial"/>
          <w:lang w:val="es-MX"/>
        </w:rPr>
        <w:t>a política de valoración del riesgo institucional</w:t>
      </w:r>
      <w:r w:rsidR="004F49E3">
        <w:rPr>
          <w:rFonts w:ascii="Arial" w:hAnsi="Arial" w:cs="Arial"/>
          <w:szCs w:val="24"/>
        </w:rPr>
        <w:t>, de conformidad con la normativa aplicable</w:t>
      </w:r>
      <w:r>
        <w:rPr>
          <w:rFonts w:ascii="Arial" w:hAnsi="Arial" w:cs="Arial"/>
          <w:lang w:val="es-MX"/>
        </w:rPr>
        <w:t xml:space="preserve">. </w:t>
      </w:r>
    </w:p>
    <w:p w14:paraId="52E2DD33" w14:textId="77777777" w:rsidR="00FD06D0" w:rsidRDefault="00FD06D0" w:rsidP="00FD06D0">
      <w:pPr>
        <w:spacing w:after="0" w:line="240" w:lineRule="auto"/>
        <w:contextualSpacing/>
        <w:jc w:val="both"/>
        <w:rPr>
          <w:rFonts w:ascii="Arial" w:hAnsi="Arial" w:cs="Arial"/>
          <w:lang w:val="es-MX"/>
        </w:rPr>
      </w:pPr>
    </w:p>
    <w:p w14:paraId="644CC498" w14:textId="77777777" w:rsidR="00646117" w:rsidRPr="00A26934" w:rsidRDefault="004F49E3" w:rsidP="00981CF9">
      <w:pPr>
        <w:spacing w:after="0" w:line="240" w:lineRule="auto"/>
        <w:contextualSpacing/>
        <w:jc w:val="both"/>
        <w:rPr>
          <w:rFonts w:ascii="Arial" w:hAnsi="Arial" w:cs="Arial"/>
          <w:lang w:val="es-MX"/>
        </w:rPr>
      </w:pPr>
      <w:bookmarkStart w:id="56" w:name="_Hlk124773111"/>
      <w:r w:rsidRPr="004F49E3">
        <w:rPr>
          <w:rFonts w:ascii="Arial" w:hAnsi="Arial" w:cs="Arial"/>
          <w:lang w:val="es-MX"/>
        </w:rPr>
        <w:t xml:space="preserve">Lo antes citado, se debe a que </w:t>
      </w:r>
      <w:r>
        <w:rPr>
          <w:rFonts w:ascii="Arial" w:hAnsi="Arial" w:cs="Arial"/>
          <w:lang w:val="es-MX"/>
        </w:rPr>
        <w:t>no se ha establecido en</w:t>
      </w:r>
      <w:r w:rsidR="00646117">
        <w:rPr>
          <w:rFonts w:ascii="Arial" w:hAnsi="Arial" w:cs="Arial"/>
          <w:lang w:val="es-MX"/>
        </w:rPr>
        <w:t xml:space="preserve"> </w:t>
      </w:r>
      <w:r w:rsidR="00F50507">
        <w:rPr>
          <w:rFonts w:ascii="Arial" w:hAnsi="Arial" w:cs="Arial"/>
          <w:lang w:val="es-MX"/>
        </w:rPr>
        <w:t>un solo documento</w:t>
      </w:r>
      <w:r w:rsidR="00646117">
        <w:rPr>
          <w:rFonts w:ascii="Arial" w:hAnsi="Arial" w:cs="Arial"/>
          <w:lang w:val="es-MX"/>
        </w:rPr>
        <w:t xml:space="preserve"> los elementos que deberán conformar el </w:t>
      </w:r>
      <w:r w:rsidR="00982BF3" w:rsidRPr="00982BF3">
        <w:rPr>
          <w:rFonts w:ascii="Arial" w:hAnsi="Arial" w:cs="Arial"/>
          <w:lang w:val="es-MX"/>
        </w:rPr>
        <w:t>Marco orientador del SEVRI en el Ministerio de Hacienda</w:t>
      </w:r>
      <w:r w:rsidR="00A26934">
        <w:rPr>
          <w:rFonts w:ascii="Arial" w:hAnsi="Arial" w:cs="Arial"/>
          <w:lang w:val="es-MX"/>
        </w:rPr>
        <w:t xml:space="preserve">, </w:t>
      </w:r>
      <w:r w:rsidR="00A26934" w:rsidRPr="00A26934">
        <w:rPr>
          <w:rFonts w:ascii="Arial" w:hAnsi="Arial" w:cs="Arial"/>
          <w:lang w:val="es-MX"/>
        </w:rPr>
        <w:t>de manera tal que comprenda de conformidad con la normativa aplicable, lo siguiente: la política de valoración del riesgo institucional, la estrategia del SEVRI y la normativa interna que regule el SEVRI</w:t>
      </w:r>
      <w:r w:rsidR="00487954">
        <w:rPr>
          <w:rFonts w:ascii="Arial" w:hAnsi="Arial" w:cs="Arial"/>
          <w:lang w:val="es-MX"/>
        </w:rPr>
        <w:t>, e</w:t>
      </w:r>
      <w:r w:rsidR="00A26934">
        <w:rPr>
          <w:rFonts w:ascii="Arial" w:hAnsi="Arial" w:cs="Arial"/>
          <w:lang w:val="es-MX"/>
        </w:rPr>
        <w:t xml:space="preserve">s decir, un documento que concentre </w:t>
      </w:r>
      <w:r w:rsidR="00A26934" w:rsidRPr="00A26934">
        <w:rPr>
          <w:rFonts w:ascii="Arial" w:hAnsi="Arial" w:cs="Arial"/>
          <w:lang w:val="es-MX"/>
        </w:rPr>
        <w:t>dicha información</w:t>
      </w:r>
      <w:r w:rsidR="00487954">
        <w:rPr>
          <w:rFonts w:ascii="Arial" w:hAnsi="Arial" w:cs="Arial"/>
          <w:lang w:val="es-MX"/>
        </w:rPr>
        <w:t xml:space="preserve">. </w:t>
      </w:r>
      <w:r w:rsidR="00A26934">
        <w:rPr>
          <w:rFonts w:ascii="Arial" w:hAnsi="Arial" w:cs="Arial"/>
          <w:lang w:val="es-MX"/>
        </w:rPr>
        <w:t xml:space="preserve"> </w:t>
      </w:r>
    </w:p>
    <w:bookmarkEnd w:id="56"/>
    <w:p w14:paraId="701ED79A" w14:textId="77777777" w:rsidR="00A54A27" w:rsidRDefault="00A54A27" w:rsidP="00822865">
      <w:pPr>
        <w:spacing w:after="0" w:line="240" w:lineRule="auto"/>
        <w:contextualSpacing/>
        <w:jc w:val="both"/>
        <w:rPr>
          <w:rFonts w:ascii="Arial" w:hAnsi="Arial" w:cs="Arial"/>
        </w:rPr>
      </w:pPr>
    </w:p>
    <w:p w14:paraId="6A422DB9" w14:textId="0E040D08" w:rsidR="000763B1" w:rsidRPr="00F07550" w:rsidRDefault="00B6033C" w:rsidP="000763B1">
      <w:pPr>
        <w:spacing w:after="0" w:line="240" w:lineRule="auto"/>
        <w:contextualSpacing/>
        <w:jc w:val="both"/>
        <w:rPr>
          <w:rFonts w:ascii="Arial" w:hAnsi="Arial" w:cs="Arial"/>
        </w:rPr>
      </w:pPr>
      <w:r w:rsidRPr="00B6033C">
        <w:rPr>
          <w:rFonts w:ascii="Arial" w:hAnsi="Arial" w:cs="Arial"/>
        </w:rPr>
        <w:t>La situación antes expuesta,</w:t>
      </w:r>
      <w:r>
        <w:rPr>
          <w:rFonts w:ascii="Arial" w:hAnsi="Arial" w:cs="Arial"/>
        </w:rPr>
        <w:t xml:space="preserve"> </w:t>
      </w:r>
      <w:r w:rsidR="00D836BF">
        <w:rPr>
          <w:rFonts w:ascii="Arial" w:hAnsi="Arial" w:cs="Arial"/>
        </w:rPr>
        <w:t>genera el riesgo</w:t>
      </w:r>
      <w:r>
        <w:rPr>
          <w:rFonts w:ascii="Arial" w:hAnsi="Arial" w:cs="Arial"/>
        </w:rPr>
        <w:t xml:space="preserve"> </w:t>
      </w:r>
      <w:r w:rsidR="00D836BF">
        <w:rPr>
          <w:rFonts w:ascii="Arial" w:hAnsi="Arial" w:cs="Arial"/>
        </w:rPr>
        <w:t xml:space="preserve">que exista una limitante </w:t>
      </w:r>
      <w:r w:rsidR="00832BB6">
        <w:rPr>
          <w:rFonts w:ascii="Arial" w:hAnsi="Arial" w:cs="Arial"/>
        </w:rPr>
        <w:t>para</w:t>
      </w:r>
      <w:r w:rsidR="00F07550" w:rsidRPr="00F07550">
        <w:rPr>
          <w:rFonts w:ascii="Arial" w:hAnsi="Arial" w:cs="Arial"/>
        </w:rPr>
        <w:t xml:space="preserve"> responder en todo momento a las necesidades y lineamientos vigentes, </w:t>
      </w:r>
      <w:r>
        <w:rPr>
          <w:rFonts w:ascii="Arial" w:hAnsi="Arial" w:cs="Arial"/>
        </w:rPr>
        <w:t>asimismo,</w:t>
      </w:r>
      <w:r w:rsidR="00832BB6">
        <w:rPr>
          <w:rFonts w:ascii="Arial" w:hAnsi="Arial" w:cs="Arial"/>
        </w:rPr>
        <w:t xml:space="preserve"> </w:t>
      </w:r>
      <w:r w:rsidR="00D836BF">
        <w:rPr>
          <w:rFonts w:ascii="Arial" w:hAnsi="Arial" w:cs="Arial"/>
        </w:rPr>
        <w:t>im</w:t>
      </w:r>
      <w:r w:rsidR="00487954">
        <w:rPr>
          <w:rFonts w:ascii="Arial" w:hAnsi="Arial" w:cs="Arial"/>
          <w:lang w:val="es-MX"/>
        </w:rPr>
        <w:t>posibilita</w:t>
      </w:r>
      <w:r w:rsidR="00487954" w:rsidRPr="00982BF3">
        <w:rPr>
          <w:rFonts w:ascii="Arial" w:hAnsi="Arial" w:cs="Arial"/>
          <w:lang w:val="es-MX"/>
        </w:rPr>
        <w:t xml:space="preserve"> </w:t>
      </w:r>
      <w:r w:rsidR="00487954">
        <w:rPr>
          <w:rFonts w:ascii="Arial" w:hAnsi="Arial" w:cs="Arial"/>
          <w:lang w:val="es-MX"/>
        </w:rPr>
        <w:t>una</w:t>
      </w:r>
      <w:r w:rsidR="00487954" w:rsidRPr="00982BF3">
        <w:rPr>
          <w:rFonts w:ascii="Arial" w:hAnsi="Arial" w:cs="Arial"/>
          <w:lang w:val="es-MX"/>
        </w:rPr>
        <w:t xml:space="preserve"> gestión ordenada y sistemática de la información relevante</w:t>
      </w:r>
      <w:r w:rsidR="00487954">
        <w:rPr>
          <w:rFonts w:ascii="Arial" w:hAnsi="Arial" w:cs="Arial"/>
          <w:lang w:val="es-MX"/>
        </w:rPr>
        <w:t xml:space="preserve"> </w:t>
      </w:r>
      <w:r w:rsidR="00487954" w:rsidRPr="00822865">
        <w:rPr>
          <w:rFonts w:ascii="Arial" w:hAnsi="Arial" w:cs="Arial"/>
          <w:lang w:val="es-MX"/>
        </w:rPr>
        <w:t xml:space="preserve">para el </w:t>
      </w:r>
      <w:r w:rsidR="00487954">
        <w:rPr>
          <w:rFonts w:ascii="Arial" w:hAnsi="Arial" w:cs="Arial"/>
          <w:lang w:val="es-MX"/>
        </w:rPr>
        <w:t>e</w:t>
      </w:r>
      <w:r w:rsidR="00487954" w:rsidRPr="00A54A27">
        <w:rPr>
          <w:rFonts w:ascii="Arial" w:hAnsi="Arial" w:cs="Arial"/>
          <w:lang w:val="es-MX"/>
        </w:rPr>
        <w:t>stablecimiento del Sistema Específico de Valoración del Riesgo Institucional</w:t>
      </w:r>
      <w:r w:rsidR="00487954">
        <w:rPr>
          <w:rFonts w:ascii="Arial" w:hAnsi="Arial" w:cs="Arial"/>
          <w:lang w:val="es-MX"/>
        </w:rPr>
        <w:t>.</w:t>
      </w:r>
      <w:r w:rsidR="00487954" w:rsidRPr="00982BF3">
        <w:t xml:space="preserve"> </w:t>
      </w:r>
      <w:r w:rsidR="00487954">
        <w:t xml:space="preserve"> </w:t>
      </w:r>
    </w:p>
    <w:p w14:paraId="07E0F8F0" w14:textId="77777777" w:rsidR="000763B1" w:rsidRDefault="000763B1" w:rsidP="000763B1">
      <w:pPr>
        <w:spacing w:after="0" w:line="240" w:lineRule="auto"/>
        <w:contextualSpacing/>
        <w:jc w:val="both"/>
        <w:rPr>
          <w:rFonts w:ascii="Arial" w:hAnsi="Arial" w:cs="Arial"/>
          <w:b/>
          <w:sz w:val="24"/>
        </w:rPr>
      </w:pPr>
    </w:p>
    <w:p w14:paraId="5CBAC3C9" w14:textId="4F2053B2" w:rsidR="00787D80" w:rsidRDefault="00787D80" w:rsidP="00412E8C">
      <w:pPr>
        <w:pStyle w:val="Ttulo1"/>
        <w:keepNext w:val="0"/>
        <w:keepLines w:val="0"/>
        <w:spacing w:before="0" w:after="0"/>
        <w:ind w:left="567" w:right="51" w:hanging="567"/>
        <w:contextualSpacing/>
        <w:jc w:val="both"/>
        <w:rPr>
          <w:rFonts w:ascii="Arial" w:hAnsi="Arial" w:cs="Arial"/>
          <w:b/>
          <w:color w:val="44546A" w:themeColor="text2"/>
          <w:sz w:val="22"/>
          <w:szCs w:val="22"/>
          <w:lang w:val="es-ES_tradnl" w:eastAsia="es-ES"/>
        </w:rPr>
      </w:pPr>
      <w:bookmarkStart w:id="57" w:name="_Toc125702637"/>
      <w:bookmarkStart w:id="58" w:name="_Hlk89871108"/>
      <w:r w:rsidRPr="00412E8C">
        <w:rPr>
          <w:rFonts w:ascii="Arial" w:hAnsi="Arial" w:cs="Arial"/>
          <w:b/>
          <w:color w:val="44546A" w:themeColor="text2"/>
          <w:sz w:val="22"/>
          <w:szCs w:val="22"/>
          <w:lang w:val="es-ES_tradnl" w:eastAsia="es-ES"/>
        </w:rPr>
        <w:t>2.1</w:t>
      </w:r>
      <w:r w:rsidR="00C62D0A">
        <w:rPr>
          <w:rFonts w:ascii="Arial" w:hAnsi="Arial" w:cs="Arial"/>
          <w:b/>
          <w:color w:val="44546A" w:themeColor="text2"/>
          <w:sz w:val="22"/>
          <w:szCs w:val="22"/>
          <w:lang w:val="es-ES_tradnl" w:eastAsia="es-ES"/>
        </w:rPr>
        <w:t>.</w:t>
      </w:r>
      <w:r w:rsidR="007F0DF9">
        <w:rPr>
          <w:rFonts w:ascii="Arial" w:hAnsi="Arial" w:cs="Arial"/>
          <w:b/>
          <w:color w:val="44546A" w:themeColor="text2"/>
          <w:sz w:val="22"/>
          <w:szCs w:val="22"/>
          <w:lang w:val="es-ES_tradnl" w:eastAsia="es-ES"/>
        </w:rPr>
        <w:t>2</w:t>
      </w:r>
      <w:r w:rsidR="0089322A" w:rsidRPr="00412E8C">
        <w:rPr>
          <w:rFonts w:ascii="Arial" w:hAnsi="Arial" w:cs="Arial"/>
          <w:b/>
          <w:color w:val="44546A" w:themeColor="text2"/>
          <w:sz w:val="22"/>
          <w:szCs w:val="22"/>
          <w:lang w:val="es-ES_tradnl" w:eastAsia="es-ES"/>
        </w:rPr>
        <w:t xml:space="preserve"> </w:t>
      </w:r>
      <w:r w:rsidR="000E37F1" w:rsidRPr="00412E8C">
        <w:rPr>
          <w:rFonts w:ascii="Arial" w:hAnsi="Arial" w:cs="Arial"/>
          <w:b/>
          <w:color w:val="44546A" w:themeColor="text2"/>
          <w:sz w:val="22"/>
          <w:szCs w:val="22"/>
          <w:lang w:val="es-ES_tradnl" w:eastAsia="es-ES"/>
        </w:rPr>
        <w:t>Sobre</w:t>
      </w:r>
      <w:r w:rsidR="00D85ADA" w:rsidRPr="00412E8C">
        <w:rPr>
          <w:rFonts w:ascii="Arial" w:hAnsi="Arial" w:cs="Arial"/>
          <w:b/>
          <w:color w:val="44546A" w:themeColor="text2"/>
          <w:sz w:val="22"/>
          <w:szCs w:val="22"/>
          <w:lang w:val="es-ES_tradnl" w:eastAsia="es-ES"/>
        </w:rPr>
        <w:t xml:space="preserve"> la actualización </w:t>
      </w:r>
      <w:r w:rsidR="00FB12BA">
        <w:rPr>
          <w:rFonts w:ascii="Arial" w:hAnsi="Arial" w:cs="Arial"/>
          <w:b/>
          <w:color w:val="44546A" w:themeColor="text2"/>
          <w:sz w:val="22"/>
          <w:szCs w:val="22"/>
          <w:lang w:val="es-ES_tradnl" w:eastAsia="es-ES"/>
        </w:rPr>
        <w:t xml:space="preserve">la </w:t>
      </w:r>
      <w:r w:rsidR="005A1177" w:rsidRPr="005A1177">
        <w:rPr>
          <w:rFonts w:ascii="Arial" w:hAnsi="Arial" w:cs="Arial"/>
          <w:b/>
          <w:color w:val="44546A" w:themeColor="text2"/>
          <w:sz w:val="22"/>
          <w:szCs w:val="22"/>
          <w:lang w:val="es-ES_tradnl" w:eastAsia="es-ES"/>
        </w:rPr>
        <w:t>Directriz N°002-</w:t>
      </w:r>
      <w:r w:rsidR="006D4825" w:rsidRPr="005A1177">
        <w:rPr>
          <w:rFonts w:ascii="Arial" w:hAnsi="Arial" w:cs="Arial"/>
          <w:b/>
          <w:color w:val="44546A" w:themeColor="text2"/>
          <w:sz w:val="22"/>
          <w:szCs w:val="22"/>
          <w:lang w:val="es-ES_tradnl" w:eastAsia="es-ES"/>
        </w:rPr>
        <w:t>2015 del</w:t>
      </w:r>
      <w:r w:rsidR="005A1177" w:rsidRPr="005A1177">
        <w:rPr>
          <w:rFonts w:ascii="Arial" w:hAnsi="Arial" w:cs="Arial"/>
          <w:b/>
          <w:color w:val="44546A" w:themeColor="text2"/>
          <w:sz w:val="22"/>
          <w:szCs w:val="22"/>
          <w:lang w:val="es-ES_tradnl" w:eastAsia="es-ES"/>
        </w:rPr>
        <w:t xml:space="preserve"> 24 de agosto de 2015</w:t>
      </w:r>
      <w:bookmarkEnd w:id="57"/>
      <w:r w:rsidR="005A1177">
        <w:rPr>
          <w:rFonts w:ascii="Arial" w:hAnsi="Arial" w:cs="Arial"/>
          <w:b/>
          <w:color w:val="44546A" w:themeColor="text2"/>
          <w:sz w:val="22"/>
          <w:szCs w:val="22"/>
          <w:lang w:val="es-ES_tradnl" w:eastAsia="es-ES"/>
        </w:rPr>
        <w:t xml:space="preserve"> </w:t>
      </w:r>
    </w:p>
    <w:bookmarkEnd w:id="58"/>
    <w:p w14:paraId="2A20D50D" w14:textId="77777777" w:rsidR="008A4A6D" w:rsidRDefault="008A4A6D" w:rsidP="00265A8B">
      <w:pPr>
        <w:spacing w:after="0" w:line="240" w:lineRule="auto"/>
        <w:contextualSpacing/>
        <w:jc w:val="both"/>
        <w:rPr>
          <w:rFonts w:ascii="Arial" w:hAnsi="Arial" w:cs="Arial"/>
        </w:rPr>
      </w:pPr>
    </w:p>
    <w:p w14:paraId="0B251AB7" w14:textId="70C75550" w:rsidR="00265A8B" w:rsidRPr="005E2572" w:rsidRDefault="00265A8B" w:rsidP="00265A8B">
      <w:pPr>
        <w:spacing w:after="0" w:line="240" w:lineRule="auto"/>
        <w:contextualSpacing/>
        <w:jc w:val="both"/>
        <w:rPr>
          <w:rFonts w:ascii="Arial" w:hAnsi="Arial" w:cs="Arial"/>
        </w:rPr>
      </w:pPr>
      <w:r w:rsidRPr="005E2572">
        <w:rPr>
          <w:rFonts w:ascii="Arial" w:hAnsi="Arial" w:cs="Arial"/>
        </w:rPr>
        <w:t xml:space="preserve">Respecto a la </w:t>
      </w:r>
      <w:r w:rsidR="005E2572" w:rsidRPr="005E2572">
        <w:rPr>
          <w:rFonts w:ascii="Arial" w:hAnsi="Arial" w:cs="Arial"/>
        </w:rPr>
        <w:t>Responsabilidad del jerarca y los titulares subordinados sobre el SCI</w:t>
      </w:r>
      <w:r w:rsidRPr="005E2572">
        <w:rPr>
          <w:rFonts w:ascii="Arial" w:hAnsi="Arial" w:cs="Arial"/>
        </w:rPr>
        <w:t xml:space="preserve">, las Normas de control interno para el Sector Público, refieren en el punto </w:t>
      </w:r>
      <w:r w:rsidR="005E2572" w:rsidRPr="005E2572">
        <w:rPr>
          <w:rFonts w:ascii="Arial" w:hAnsi="Arial" w:cs="Arial"/>
        </w:rPr>
        <w:t>1</w:t>
      </w:r>
      <w:r w:rsidRPr="005E2572">
        <w:rPr>
          <w:rFonts w:ascii="Arial" w:hAnsi="Arial" w:cs="Arial"/>
        </w:rPr>
        <w:t>.</w:t>
      </w:r>
      <w:r w:rsidR="005E2572" w:rsidRPr="005E2572">
        <w:rPr>
          <w:rFonts w:ascii="Arial" w:hAnsi="Arial" w:cs="Arial"/>
        </w:rPr>
        <w:t>4</w:t>
      </w:r>
      <w:r w:rsidRPr="005E2572">
        <w:rPr>
          <w:rFonts w:ascii="Arial" w:hAnsi="Arial" w:cs="Arial"/>
        </w:rPr>
        <w:t>, lo siguiente:</w:t>
      </w:r>
    </w:p>
    <w:p w14:paraId="297E8BF7" w14:textId="77777777" w:rsidR="00265A8B" w:rsidRPr="005E2572" w:rsidRDefault="00265A8B" w:rsidP="00265A8B">
      <w:pPr>
        <w:spacing w:after="0" w:line="240" w:lineRule="auto"/>
        <w:contextualSpacing/>
        <w:jc w:val="both"/>
        <w:rPr>
          <w:rFonts w:ascii="Arial" w:hAnsi="Arial" w:cs="Arial"/>
        </w:rPr>
      </w:pPr>
    </w:p>
    <w:p w14:paraId="76CC4005" w14:textId="77777777" w:rsidR="005E2572" w:rsidRPr="005E2572" w:rsidRDefault="00265A8B" w:rsidP="005E2572">
      <w:pPr>
        <w:spacing w:after="0" w:line="240" w:lineRule="auto"/>
        <w:ind w:left="708" w:right="709"/>
        <w:contextualSpacing/>
        <w:jc w:val="both"/>
        <w:rPr>
          <w:rFonts w:ascii="Arial" w:hAnsi="Arial" w:cs="Arial"/>
          <w:i/>
        </w:rPr>
      </w:pPr>
      <w:r w:rsidRPr="005E2572">
        <w:rPr>
          <w:rFonts w:ascii="Arial" w:hAnsi="Arial" w:cs="Arial"/>
          <w:i/>
        </w:rPr>
        <w:t>“</w:t>
      </w:r>
      <w:r w:rsidR="005E2572" w:rsidRPr="005E2572">
        <w:rPr>
          <w:rFonts w:ascii="Arial" w:hAnsi="Arial" w:cs="Arial"/>
          <w:i/>
        </w:rPr>
        <w:t>La responsabilidad por el establecimiento, mantenimiento, funcionamiento, perfeccionamiento y evaluación del SCI es inherente al jerarca y a los titulares subordinados, en el ámbito de sus competencias.</w:t>
      </w:r>
    </w:p>
    <w:p w14:paraId="14C0EFFD" w14:textId="77777777" w:rsidR="00265A8B" w:rsidRPr="005E2572" w:rsidRDefault="005E2572" w:rsidP="005E2572">
      <w:pPr>
        <w:spacing w:after="0" w:line="240" w:lineRule="auto"/>
        <w:ind w:left="708" w:right="709"/>
        <w:contextualSpacing/>
        <w:jc w:val="both"/>
        <w:rPr>
          <w:rFonts w:ascii="Arial" w:hAnsi="Arial" w:cs="Arial"/>
          <w:i/>
        </w:rPr>
      </w:pPr>
      <w:r w:rsidRPr="005E2572">
        <w:rPr>
          <w:rFonts w:ascii="Arial" w:hAnsi="Arial" w:cs="Arial"/>
          <w:i/>
        </w:rPr>
        <w:t xml:space="preserve">En el cumplimiento de esa responsabilidad las autoridades citadas deben dar especial énfasis a áreas consideradas relevantes con base en criterios tales como su materialidad, el riesgo asociado y su impacto en la consecución de los fines </w:t>
      </w:r>
      <w:r w:rsidR="00A50960" w:rsidRPr="005E2572">
        <w:rPr>
          <w:rFonts w:ascii="Arial" w:hAnsi="Arial" w:cs="Arial"/>
          <w:i/>
        </w:rPr>
        <w:t>institucionales…</w:t>
      </w:r>
      <w:r w:rsidR="00A50960">
        <w:rPr>
          <w:rFonts w:ascii="Arial" w:hAnsi="Arial" w:cs="Arial"/>
          <w:i/>
        </w:rPr>
        <w:t>//</w:t>
      </w:r>
      <w:r w:rsidRPr="005E2572">
        <w:rPr>
          <w:rFonts w:ascii="Arial" w:hAnsi="Arial" w:cs="Arial"/>
          <w:i/>
        </w:rPr>
        <w:t>Como parte de ello, deben contemplar, entre otros asuntos, los siguientes…//…c. La emisión de instrucciones a fin de que las políticas, normas y procedimientos para el cumplimiento del SCI, estén debidamente documentados, oficializados y actualizados, y sean divulgados y puestos a disposición para su consulta.</w:t>
      </w:r>
      <w:r w:rsidR="00265A8B" w:rsidRPr="005E2572">
        <w:rPr>
          <w:rFonts w:ascii="Arial" w:hAnsi="Arial" w:cs="Arial"/>
          <w:i/>
        </w:rPr>
        <w:t>”</w:t>
      </w:r>
    </w:p>
    <w:p w14:paraId="5AA263B6" w14:textId="77777777" w:rsidR="008A4A6D" w:rsidRDefault="008A4A6D" w:rsidP="00E03114">
      <w:pPr>
        <w:spacing w:after="0" w:line="240" w:lineRule="auto"/>
        <w:contextualSpacing/>
        <w:jc w:val="both"/>
        <w:rPr>
          <w:rFonts w:ascii="Arial" w:hAnsi="Arial" w:cs="Arial"/>
        </w:rPr>
      </w:pPr>
    </w:p>
    <w:p w14:paraId="0C429D12" w14:textId="489A1848" w:rsidR="00C27423" w:rsidRDefault="00E73404" w:rsidP="00E03114">
      <w:pPr>
        <w:spacing w:after="0" w:line="240" w:lineRule="auto"/>
        <w:contextualSpacing/>
        <w:jc w:val="both"/>
        <w:rPr>
          <w:rFonts w:ascii="Arial" w:hAnsi="Arial" w:cs="Arial"/>
        </w:rPr>
      </w:pPr>
      <w:r>
        <w:rPr>
          <w:rFonts w:ascii="Arial" w:hAnsi="Arial" w:cs="Arial"/>
        </w:rPr>
        <w:t>En este sentido</w:t>
      </w:r>
      <w:r w:rsidR="00CF61D9">
        <w:rPr>
          <w:rFonts w:ascii="Arial" w:hAnsi="Arial" w:cs="Arial"/>
        </w:rPr>
        <w:t xml:space="preserve">, </w:t>
      </w:r>
      <w:r w:rsidR="00746275" w:rsidRPr="00746275">
        <w:rPr>
          <w:rFonts w:ascii="Arial" w:hAnsi="Arial" w:cs="Arial"/>
        </w:rPr>
        <w:t xml:space="preserve">la </w:t>
      </w:r>
      <w:bookmarkStart w:id="59" w:name="_Hlk124859714"/>
      <w:r w:rsidR="00746275">
        <w:rPr>
          <w:rFonts w:ascii="Arial" w:hAnsi="Arial" w:cs="Arial"/>
        </w:rPr>
        <w:t>D</w:t>
      </w:r>
      <w:r w:rsidR="00746275" w:rsidRPr="00746275">
        <w:rPr>
          <w:rFonts w:ascii="Arial" w:hAnsi="Arial" w:cs="Arial"/>
        </w:rPr>
        <w:t>irectriz</w:t>
      </w:r>
      <w:r w:rsidR="00746275">
        <w:rPr>
          <w:rFonts w:ascii="Arial" w:hAnsi="Arial" w:cs="Arial"/>
        </w:rPr>
        <w:t xml:space="preserve"> N°002-2015</w:t>
      </w:r>
      <w:r w:rsidR="00841967" w:rsidRPr="00746275">
        <w:rPr>
          <w:rStyle w:val="Refdenotaalpie"/>
          <w:rFonts w:ascii="Arial" w:hAnsi="Arial" w:cs="Arial"/>
        </w:rPr>
        <w:footnoteReference w:id="7"/>
      </w:r>
      <w:r w:rsidR="005D33A4">
        <w:rPr>
          <w:rFonts w:ascii="Arial" w:hAnsi="Arial" w:cs="Arial"/>
        </w:rPr>
        <w:t xml:space="preserve"> </w:t>
      </w:r>
      <w:r w:rsidR="00641AA2">
        <w:rPr>
          <w:rFonts w:ascii="Arial" w:hAnsi="Arial" w:cs="Arial"/>
        </w:rPr>
        <w:t>se</w:t>
      </w:r>
      <w:r w:rsidR="00BD0D5C">
        <w:rPr>
          <w:rFonts w:ascii="Arial" w:hAnsi="Arial" w:cs="Arial"/>
        </w:rPr>
        <w:t xml:space="preserve"> mantiene vigente a pesar de que el resto de documentos que conforman el Marco orientador del SEVRI, han sido actualizados</w:t>
      </w:r>
      <w:r w:rsidR="005D33A4">
        <w:rPr>
          <w:rFonts w:ascii="Arial" w:hAnsi="Arial" w:cs="Arial"/>
        </w:rPr>
        <w:t xml:space="preserve">: </w:t>
      </w:r>
      <w:r w:rsidR="00BD0D5C">
        <w:rPr>
          <w:rFonts w:ascii="Arial" w:hAnsi="Arial" w:cs="Arial"/>
        </w:rPr>
        <w:t>la</w:t>
      </w:r>
      <w:r w:rsidR="00BD0D5C" w:rsidRPr="00BD0D5C">
        <w:rPr>
          <w:rFonts w:ascii="Arial" w:hAnsi="Arial" w:cs="Arial"/>
        </w:rPr>
        <w:t xml:space="preserve"> Guía Metodológica para la Valoración de Riesgo Institucional</w:t>
      </w:r>
      <w:r w:rsidR="00BD0D5C">
        <w:rPr>
          <w:rFonts w:ascii="Arial" w:hAnsi="Arial" w:cs="Arial"/>
        </w:rPr>
        <w:t xml:space="preserve"> en</w:t>
      </w:r>
      <w:r w:rsidR="00BD0D5C" w:rsidRPr="00BD0D5C">
        <w:rPr>
          <w:rFonts w:ascii="Arial" w:hAnsi="Arial" w:cs="Arial"/>
        </w:rPr>
        <w:t xml:space="preserve"> agosto del 2020</w:t>
      </w:r>
      <w:r w:rsidR="00BD0D5C">
        <w:rPr>
          <w:rFonts w:ascii="Arial" w:hAnsi="Arial" w:cs="Arial"/>
        </w:rPr>
        <w:t xml:space="preserve"> y la </w:t>
      </w:r>
      <w:r w:rsidR="00BD0D5C" w:rsidRPr="00BD0D5C">
        <w:rPr>
          <w:rFonts w:ascii="Arial" w:hAnsi="Arial" w:cs="Arial"/>
        </w:rPr>
        <w:t>Política del Sistema de Valoración de Riesgo Institucional</w:t>
      </w:r>
      <w:r w:rsidR="00BD0D5C">
        <w:rPr>
          <w:rFonts w:ascii="Arial" w:hAnsi="Arial" w:cs="Arial"/>
        </w:rPr>
        <w:t xml:space="preserve"> en </w:t>
      </w:r>
      <w:r w:rsidR="00BD0D5C" w:rsidRPr="00BD0D5C">
        <w:rPr>
          <w:rFonts w:ascii="Arial" w:hAnsi="Arial" w:cs="Arial"/>
        </w:rPr>
        <w:t>noviembre del 2022</w:t>
      </w:r>
      <w:r w:rsidR="005D33A4">
        <w:rPr>
          <w:rFonts w:ascii="Arial" w:hAnsi="Arial" w:cs="Arial"/>
        </w:rPr>
        <w:t>.</w:t>
      </w:r>
      <w:bookmarkEnd w:id="59"/>
    </w:p>
    <w:p w14:paraId="72908232" w14:textId="77777777" w:rsidR="00862001" w:rsidRDefault="00862001" w:rsidP="00E03114">
      <w:pPr>
        <w:spacing w:after="0" w:line="240" w:lineRule="auto"/>
        <w:contextualSpacing/>
        <w:jc w:val="both"/>
        <w:rPr>
          <w:rFonts w:ascii="Arial" w:hAnsi="Arial" w:cs="Arial"/>
        </w:rPr>
      </w:pPr>
    </w:p>
    <w:p w14:paraId="2CDF9D05" w14:textId="7A9960B3" w:rsidR="00A80119" w:rsidRPr="0065386E" w:rsidRDefault="00D836BF" w:rsidP="00A80119">
      <w:pPr>
        <w:spacing w:after="0" w:line="240" w:lineRule="auto"/>
        <w:contextualSpacing/>
        <w:jc w:val="both"/>
        <w:rPr>
          <w:rFonts w:ascii="Arial" w:hAnsi="Arial" w:cs="Arial"/>
        </w:rPr>
      </w:pPr>
      <w:r>
        <w:rPr>
          <w:rFonts w:ascii="Arial" w:hAnsi="Arial" w:cs="Arial"/>
        </w:rPr>
        <w:lastRenderedPageBreak/>
        <w:t xml:space="preserve">Esa situación no es nueva, ya que </w:t>
      </w:r>
      <w:r w:rsidR="00A80119" w:rsidRPr="0065386E">
        <w:rPr>
          <w:rFonts w:ascii="Arial" w:hAnsi="Arial" w:cs="Arial"/>
        </w:rPr>
        <w:t xml:space="preserve">esta Auditoría Interna mediante AI-AS-008-2019 del 27 de junio de 2019, </w:t>
      </w:r>
      <w:r w:rsidR="0065386E" w:rsidRPr="0065386E">
        <w:rPr>
          <w:rFonts w:ascii="Arial" w:hAnsi="Arial" w:cs="Arial"/>
        </w:rPr>
        <w:t>“</w:t>
      </w:r>
      <w:r w:rsidR="00A80119" w:rsidRPr="0065386E">
        <w:rPr>
          <w:rFonts w:ascii="Arial" w:hAnsi="Arial" w:cs="Arial"/>
        </w:rPr>
        <w:t>Asesoría sobre la gobernanza de la gestión del riesgo institucional</w:t>
      </w:r>
      <w:r w:rsidR="0065386E" w:rsidRPr="0065386E">
        <w:rPr>
          <w:rFonts w:ascii="Arial" w:hAnsi="Arial" w:cs="Arial"/>
        </w:rPr>
        <w:t xml:space="preserve">”, señaló que </w:t>
      </w:r>
      <w:r w:rsidR="001F7839">
        <w:rPr>
          <w:rFonts w:ascii="Arial" w:hAnsi="Arial" w:cs="Arial"/>
        </w:rPr>
        <w:t xml:space="preserve">esta Directriz </w:t>
      </w:r>
      <w:r w:rsidR="0065386E" w:rsidRPr="0065386E">
        <w:rPr>
          <w:rFonts w:ascii="Arial" w:hAnsi="Arial" w:cs="Arial"/>
        </w:rPr>
        <w:t>debía</w:t>
      </w:r>
      <w:r w:rsidR="0065386E" w:rsidRPr="0065386E">
        <w:t xml:space="preserve"> </w:t>
      </w:r>
      <w:r w:rsidR="0065386E" w:rsidRPr="0065386E">
        <w:rPr>
          <w:rFonts w:ascii="Arial" w:hAnsi="Arial" w:cs="Arial"/>
        </w:rPr>
        <w:t>ser revisada y actualizada, a mecanismos prácticos y consistentes con la actual realidad institucional.</w:t>
      </w:r>
    </w:p>
    <w:p w14:paraId="19978F2D" w14:textId="77777777" w:rsidR="00841967" w:rsidRDefault="00841967" w:rsidP="00E03114">
      <w:pPr>
        <w:spacing w:after="0" w:line="240" w:lineRule="auto"/>
        <w:contextualSpacing/>
        <w:jc w:val="both"/>
        <w:rPr>
          <w:rFonts w:ascii="Arial" w:hAnsi="Arial" w:cs="Arial"/>
        </w:rPr>
      </w:pPr>
    </w:p>
    <w:p w14:paraId="665C7A53" w14:textId="13BAA839" w:rsidR="00270EF7" w:rsidRDefault="005D33A4" w:rsidP="000E72F4">
      <w:pPr>
        <w:pStyle w:val="Textocomentario"/>
        <w:spacing w:after="0"/>
        <w:contextualSpacing/>
        <w:jc w:val="both"/>
        <w:rPr>
          <w:rFonts w:ascii="Arial" w:eastAsiaTheme="minorHAnsi" w:hAnsi="Arial" w:cs="Arial"/>
          <w:color w:val="auto"/>
          <w:kern w:val="0"/>
          <w:sz w:val="22"/>
          <w:szCs w:val="22"/>
        </w:rPr>
      </w:pPr>
      <w:bookmarkStart w:id="61" w:name="_Toc390783338"/>
      <w:bookmarkStart w:id="62" w:name="_Hlk88646292"/>
      <w:bookmarkEnd w:id="46"/>
      <w:r>
        <w:rPr>
          <w:rFonts w:ascii="Arial" w:eastAsiaTheme="minorHAnsi" w:hAnsi="Arial" w:cs="Arial"/>
          <w:color w:val="auto"/>
          <w:kern w:val="0"/>
          <w:sz w:val="22"/>
          <w:szCs w:val="22"/>
        </w:rPr>
        <w:t>E</w:t>
      </w:r>
      <w:r w:rsidR="0058238F">
        <w:rPr>
          <w:rFonts w:ascii="Arial" w:eastAsiaTheme="minorHAnsi" w:hAnsi="Arial" w:cs="Arial"/>
          <w:color w:val="auto"/>
          <w:kern w:val="0"/>
          <w:sz w:val="22"/>
          <w:szCs w:val="22"/>
        </w:rPr>
        <w:t>sta situación obedece</w:t>
      </w:r>
      <w:r w:rsidR="00E07CBD" w:rsidRPr="00F362D2">
        <w:rPr>
          <w:rFonts w:ascii="Arial" w:eastAsiaTheme="minorHAnsi" w:hAnsi="Arial" w:cs="Arial"/>
          <w:color w:val="auto"/>
          <w:kern w:val="0"/>
          <w:sz w:val="22"/>
          <w:szCs w:val="22"/>
        </w:rPr>
        <w:t xml:space="preserve"> </w:t>
      </w:r>
      <w:r w:rsidR="0058238F">
        <w:rPr>
          <w:rFonts w:ascii="Arial" w:eastAsiaTheme="minorHAnsi" w:hAnsi="Arial" w:cs="Arial"/>
          <w:color w:val="auto"/>
          <w:kern w:val="0"/>
          <w:sz w:val="22"/>
          <w:szCs w:val="22"/>
        </w:rPr>
        <w:t xml:space="preserve">a que </w:t>
      </w:r>
      <w:r>
        <w:rPr>
          <w:rFonts w:ascii="Arial" w:eastAsiaTheme="minorHAnsi" w:hAnsi="Arial" w:cs="Arial"/>
          <w:color w:val="auto"/>
          <w:kern w:val="0"/>
          <w:sz w:val="22"/>
          <w:szCs w:val="22"/>
        </w:rPr>
        <w:t xml:space="preserve">la Dirección de Planificación Institucional </w:t>
      </w:r>
      <w:r w:rsidR="00E07CBD" w:rsidRPr="00F362D2">
        <w:rPr>
          <w:rFonts w:ascii="Arial" w:eastAsiaTheme="minorHAnsi" w:hAnsi="Arial" w:cs="Arial"/>
          <w:color w:val="auto"/>
          <w:kern w:val="0"/>
          <w:sz w:val="22"/>
          <w:szCs w:val="22"/>
        </w:rPr>
        <w:t xml:space="preserve">no </w:t>
      </w:r>
      <w:r>
        <w:rPr>
          <w:rFonts w:ascii="Arial" w:eastAsiaTheme="minorHAnsi" w:hAnsi="Arial" w:cs="Arial"/>
          <w:color w:val="auto"/>
          <w:kern w:val="0"/>
          <w:sz w:val="22"/>
          <w:szCs w:val="22"/>
        </w:rPr>
        <w:t xml:space="preserve">ha </w:t>
      </w:r>
      <w:r w:rsidR="00E07CBD" w:rsidRPr="00F362D2">
        <w:rPr>
          <w:rFonts w:ascii="Arial" w:eastAsiaTheme="minorHAnsi" w:hAnsi="Arial" w:cs="Arial"/>
          <w:color w:val="auto"/>
          <w:kern w:val="0"/>
          <w:sz w:val="22"/>
          <w:szCs w:val="22"/>
        </w:rPr>
        <w:t>establecido las actividades de control necesarias que permitan la actualización periódica de la normativa interna que regula el SEVRI en el ámbito institucional</w:t>
      </w:r>
      <w:r w:rsidR="0058238F">
        <w:rPr>
          <w:rFonts w:ascii="Arial" w:eastAsiaTheme="minorHAnsi" w:hAnsi="Arial" w:cs="Arial"/>
          <w:color w:val="auto"/>
          <w:kern w:val="0"/>
          <w:sz w:val="22"/>
          <w:szCs w:val="22"/>
        </w:rPr>
        <w:t>.</w:t>
      </w:r>
    </w:p>
    <w:p w14:paraId="04CDBF36" w14:textId="77777777" w:rsidR="00FB12BA" w:rsidRDefault="00FB12BA" w:rsidP="000E72F4">
      <w:pPr>
        <w:pStyle w:val="Textocomentario"/>
        <w:spacing w:after="0"/>
        <w:contextualSpacing/>
        <w:jc w:val="both"/>
        <w:rPr>
          <w:rFonts w:ascii="Arial" w:eastAsiaTheme="minorHAnsi" w:hAnsi="Arial" w:cs="Arial"/>
          <w:color w:val="auto"/>
          <w:kern w:val="0"/>
          <w:sz w:val="22"/>
          <w:szCs w:val="22"/>
        </w:rPr>
      </w:pPr>
    </w:p>
    <w:p w14:paraId="3536F5EB" w14:textId="5BB0C4DF" w:rsidR="00493E08" w:rsidRDefault="003816AA" w:rsidP="00270EF7">
      <w:pPr>
        <w:spacing w:after="0" w:line="240" w:lineRule="auto"/>
        <w:contextualSpacing/>
        <w:jc w:val="both"/>
        <w:rPr>
          <w:rFonts w:ascii="Arial" w:hAnsi="Arial" w:cs="Arial"/>
        </w:rPr>
      </w:pPr>
      <w:r w:rsidRPr="003816AA">
        <w:rPr>
          <w:rFonts w:ascii="Arial" w:hAnsi="Arial" w:cs="Arial"/>
        </w:rPr>
        <w:t>Es importante señalar que la falta de actualización</w:t>
      </w:r>
      <w:r w:rsidR="00FB12BA">
        <w:rPr>
          <w:rFonts w:ascii="Arial" w:hAnsi="Arial" w:cs="Arial"/>
        </w:rPr>
        <w:t xml:space="preserve"> </w:t>
      </w:r>
      <w:r w:rsidR="00FB12BA" w:rsidRPr="00F362D2">
        <w:rPr>
          <w:rFonts w:ascii="Arial" w:hAnsi="Arial" w:cs="Arial"/>
        </w:rPr>
        <w:t xml:space="preserve">de la normativa interna </w:t>
      </w:r>
      <w:r w:rsidR="005D33A4">
        <w:rPr>
          <w:rFonts w:ascii="Arial" w:hAnsi="Arial" w:cs="Arial"/>
        </w:rPr>
        <w:t xml:space="preserve">podría representar el riesgo </w:t>
      </w:r>
      <w:r w:rsidR="005D33A4" w:rsidRPr="001D0114">
        <w:rPr>
          <w:rFonts w:ascii="Arial" w:hAnsi="Arial" w:cs="Arial"/>
          <w:lang w:val="es-MX"/>
        </w:rPr>
        <w:t>de que se omitan actividades e información relativa a</w:t>
      </w:r>
      <w:r w:rsidR="005D33A4">
        <w:rPr>
          <w:rFonts w:ascii="Arial" w:hAnsi="Arial" w:cs="Arial"/>
          <w:lang w:val="es-MX"/>
        </w:rPr>
        <w:t xml:space="preserve">l </w:t>
      </w:r>
      <w:r w:rsidR="005D33A4" w:rsidRPr="001D0114">
        <w:rPr>
          <w:rFonts w:ascii="Arial" w:hAnsi="Arial" w:cs="Arial"/>
          <w:lang w:val="es-MX"/>
        </w:rPr>
        <w:t>tema</w:t>
      </w:r>
      <w:r w:rsidR="005D33A4">
        <w:rPr>
          <w:rFonts w:ascii="Arial" w:hAnsi="Arial" w:cs="Arial"/>
          <w:lang w:val="es-MX"/>
        </w:rPr>
        <w:t xml:space="preserve">; </w:t>
      </w:r>
      <w:r w:rsidR="00FB12BA">
        <w:rPr>
          <w:rFonts w:ascii="Arial" w:hAnsi="Arial" w:cs="Arial"/>
        </w:rPr>
        <w:t xml:space="preserve">lo anterior, </w:t>
      </w:r>
      <w:r w:rsidRPr="00270EF7">
        <w:rPr>
          <w:rFonts w:ascii="Arial" w:hAnsi="Arial" w:cs="Arial"/>
        </w:rPr>
        <w:t>de</w:t>
      </w:r>
      <w:r>
        <w:rPr>
          <w:rFonts w:ascii="Arial" w:hAnsi="Arial" w:cs="Arial"/>
        </w:rPr>
        <w:t xml:space="preserve"> conformidad con</w:t>
      </w:r>
      <w:r w:rsidR="00270EF7" w:rsidRPr="00270EF7">
        <w:rPr>
          <w:rFonts w:ascii="Arial" w:hAnsi="Arial" w:cs="Arial"/>
        </w:rPr>
        <w:t xml:space="preserve"> </w:t>
      </w:r>
      <w:r w:rsidRPr="00E73404">
        <w:rPr>
          <w:rFonts w:ascii="Arial" w:hAnsi="Arial" w:cs="Arial"/>
        </w:rPr>
        <w:t>los cambios en el entorno</w:t>
      </w:r>
      <w:r>
        <w:rPr>
          <w:rFonts w:ascii="Arial" w:hAnsi="Arial" w:cs="Arial"/>
        </w:rPr>
        <w:t xml:space="preserve">, </w:t>
      </w:r>
      <w:r w:rsidR="00FB12BA">
        <w:rPr>
          <w:rFonts w:ascii="Arial" w:hAnsi="Arial" w:cs="Arial"/>
        </w:rPr>
        <w:t>ordenamiento jurídico</w:t>
      </w:r>
      <w:r w:rsidR="009F63D1">
        <w:rPr>
          <w:rFonts w:ascii="Arial" w:hAnsi="Arial" w:cs="Arial"/>
        </w:rPr>
        <w:t xml:space="preserve">, </w:t>
      </w:r>
      <w:r w:rsidRPr="00E73404">
        <w:rPr>
          <w:rFonts w:ascii="Arial" w:hAnsi="Arial" w:cs="Arial"/>
        </w:rPr>
        <w:t>sanas prácticas internacionales</w:t>
      </w:r>
      <w:r w:rsidR="009F63D1">
        <w:rPr>
          <w:rFonts w:ascii="Arial" w:hAnsi="Arial" w:cs="Arial"/>
        </w:rPr>
        <w:t xml:space="preserve"> y las necesidades de la institución</w:t>
      </w:r>
      <w:r w:rsidR="005D33A4">
        <w:rPr>
          <w:rFonts w:ascii="Arial" w:hAnsi="Arial" w:cs="Arial"/>
        </w:rPr>
        <w:t>.</w:t>
      </w:r>
    </w:p>
    <w:p w14:paraId="1884F6DD" w14:textId="77777777" w:rsidR="00F362D2" w:rsidRDefault="00F362D2" w:rsidP="00270EF7">
      <w:pPr>
        <w:spacing w:after="0" w:line="240" w:lineRule="auto"/>
        <w:contextualSpacing/>
        <w:jc w:val="both"/>
        <w:rPr>
          <w:rFonts w:ascii="Arial" w:hAnsi="Arial" w:cs="Arial"/>
        </w:rPr>
      </w:pPr>
    </w:p>
    <w:p w14:paraId="3FFF427E" w14:textId="22D829FD" w:rsidR="00E10F9C" w:rsidRDefault="00E10F9C" w:rsidP="00E10F9C">
      <w:pPr>
        <w:pStyle w:val="Ttulo1"/>
        <w:keepNext w:val="0"/>
        <w:keepLines w:val="0"/>
        <w:spacing w:before="0" w:after="0"/>
        <w:ind w:left="567" w:right="51" w:hanging="567"/>
        <w:contextualSpacing/>
        <w:jc w:val="both"/>
        <w:rPr>
          <w:rFonts w:ascii="Arial" w:hAnsi="Arial" w:cs="Arial"/>
          <w:b/>
          <w:color w:val="44546A" w:themeColor="text2"/>
          <w:sz w:val="22"/>
          <w:szCs w:val="22"/>
          <w:lang w:val="es-ES_tradnl" w:eastAsia="es-ES"/>
        </w:rPr>
      </w:pPr>
      <w:bookmarkStart w:id="63" w:name="_Toc125702638"/>
      <w:r w:rsidRPr="00412E8C">
        <w:rPr>
          <w:rFonts w:ascii="Arial" w:hAnsi="Arial" w:cs="Arial"/>
          <w:b/>
          <w:color w:val="44546A" w:themeColor="text2"/>
          <w:sz w:val="22"/>
          <w:szCs w:val="22"/>
          <w:lang w:val="es-ES_tradnl" w:eastAsia="es-ES"/>
        </w:rPr>
        <w:t>2.</w:t>
      </w:r>
      <w:r w:rsidR="00C62D0A">
        <w:rPr>
          <w:rFonts w:ascii="Arial" w:hAnsi="Arial" w:cs="Arial"/>
          <w:b/>
          <w:color w:val="44546A" w:themeColor="text2"/>
          <w:sz w:val="22"/>
          <w:szCs w:val="22"/>
          <w:lang w:val="es-ES_tradnl" w:eastAsia="es-ES"/>
        </w:rPr>
        <w:t>1.</w:t>
      </w:r>
      <w:r w:rsidR="007F0DF9">
        <w:rPr>
          <w:rFonts w:ascii="Arial" w:hAnsi="Arial" w:cs="Arial"/>
          <w:b/>
          <w:color w:val="44546A" w:themeColor="text2"/>
          <w:sz w:val="22"/>
          <w:szCs w:val="22"/>
          <w:lang w:val="es-ES_tradnl" w:eastAsia="es-ES"/>
        </w:rPr>
        <w:t>3</w:t>
      </w:r>
      <w:r w:rsidRPr="00412E8C">
        <w:rPr>
          <w:rFonts w:ascii="Arial" w:hAnsi="Arial" w:cs="Arial"/>
          <w:b/>
          <w:color w:val="44546A" w:themeColor="text2"/>
          <w:sz w:val="22"/>
          <w:szCs w:val="22"/>
          <w:lang w:val="es-ES_tradnl" w:eastAsia="es-ES"/>
        </w:rPr>
        <w:t xml:space="preserve"> Sobre </w:t>
      </w:r>
      <w:bookmarkStart w:id="64" w:name="_Hlk124861556"/>
      <w:r w:rsidR="00E25A43">
        <w:rPr>
          <w:rFonts w:ascii="Arial" w:hAnsi="Arial" w:cs="Arial"/>
          <w:b/>
          <w:color w:val="44546A" w:themeColor="text2"/>
          <w:sz w:val="22"/>
          <w:szCs w:val="22"/>
          <w:lang w:val="es-ES_tradnl" w:eastAsia="es-ES"/>
        </w:rPr>
        <w:t>la conformación d</w:t>
      </w:r>
      <w:r>
        <w:rPr>
          <w:rFonts w:ascii="Arial" w:hAnsi="Arial" w:cs="Arial"/>
          <w:b/>
          <w:color w:val="44546A" w:themeColor="text2"/>
          <w:sz w:val="22"/>
          <w:szCs w:val="22"/>
          <w:lang w:val="es-ES_tradnl" w:eastAsia="es-ES"/>
        </w:rPr>
        <w:t xml:space="preserve">el </w:t>
      </w:r>
      <w:r w:rsidR="0083515A">
        <w:rPr>
          <w:rFonts w:ascii="Arial" w:hAnsi="Arial" w:cs="Arial"/>
          <w:b/>
          <w:color w:val="44546A" w:themeColor="text2"/>
          <w:sz w:val="22"/>
          <w:szCs w:val="22"/>
          <w:lang w:val="es-ES_tradnl" w:eastAsia="es-ES"/>
        </w:rPr>
        <w:t>componente denominado “</w:t>
      </w:r>
      <w:r w:rsidR="00C62D0A">
        <w:rPr>
          <w:rFonts w:ascii="Arial" w:hAnsi="Arial" w:cs="Arial"/>
          <w:b/>
          <w:color w:val="44546A" w:themeColor="text2"/>
          <w:sz w:val="22"/>
          <w:szCs w:val="22"/>
          <w:lang w:val="es-ES_tradnl" w:eastAsia="es-ES"/>
        </w:rPr>
        <w:t>Ambiente de Apoyo</w:t>
      </w:r>
      <w:r w:rsidR="0083515A">
        <w:rPr>
          <w:rFonts w:ascii="Arial" w:hAnsi="Arial" w:cs="Arial"/>
          <w:b/>
          <w:color w:val="44546A" w:themeColor="text2"/>
          <w:sz w:val="22"/>
          <w:szCs w:val="22"/>
          <w:lang w:val="es-ES_tradnl" w:eastAsia="es-ES"/>
        </w:rPr>
        <w:t>”</w:t>
      </w:r>
      <w:bookmarkEnd w:id="64"/>
      <w:bookmarkEnd w:id="63"/>
      <w:r>
        <w:rPr>
          <w:rFonts w:ascii="Arial" w:hAnsi="Arial" w:cs="Arial"/>
          <w:b/>
          <w:color w:val="44546A" w:themeColor="text2"/>
          <w:sz w:val="22"/>
          <w:szCs w:val="22"/>
          <w:lang w:val="es-ES_tradnl" w:eastAsia="es-ES"/>
        </w:rPr>
        <w:t xml:space="preserve"> </w:t>
      </w:r>
    </w:p>
    <w:p w14:paraId="3EA6BD2E" w14:textId="77777777" w:rsidR="00EF354A" w:rsidRDefault="00EF354A" w:rsidP="00E10F9C">
      <w:pPr>
        <w:spacing w:after="0" w:line="240" w:lineRule="auto"/>
        <w:contextualSpacing/>
        <w:jc w:val="both"/>
        <w:rPr>
          <w:rFonts w:ascii="Arial" w:hAnsi="Arial" w:cs="Arial"/>
        </w:rPr>
      </w:pPr>
    </w:p>
    <w:p w14:paraId="1DB46CA6" w14:textId="77777777" w:rsidR="00E10F9C" w:rsidRDefault="00E10F9C" w:rsidP="00E10F9C">
      <w:pPr>
        <w:spacing w:after="0" w:line="240" w:lineRule="auto"/>
        <w:contextualSpacing/>
        <w:jc w:val="both"/>
        <w:rPr>
          <w:rFonts w:ascii="Arial" w:hAnsi="Arial" w:cs="Arial"/>
        </w:rPr>
      </w:pPr>
      <w:bookmarkStart w:id="65" w:name="_Hlk124768047"/>
      <w:r w:rsidRPr="00841967">
        <w:rPr>
          <w:rFonts w:ascii="Arial" w:hAnsi="Arial" w:cs="Arial"/>
        </w:rPr>
        <w:t>La</w:t>
      </w:r>
      <w:r w:rsidR="00EB16C1">
        <w:rPr>
          <w:rFonts w:ascii="Arial" w:hAnsi="Arial" w:cs="Arial"/>
        </w:rPr>
        <w:t>s</w:t>
      </w:r>
      <w:r w:rsidRPr="00841967">
        <w:rPr>
          <w:rFonts w:ascii="Arial" w:hAnsi="Arial" w:cs="Arial"/>
        </w:rPr>
        <w:t xml:space="preserve"> </w:t>
      </w:r>
      <w:r w:rsidR="00EB16C1" w:rsidRPr="00EB16C1">
        <w:rPr>
          <w:rFonts w:ascii="Arial" w:hAnsi="Arial" w:cs="Arial"/>
        </w:rPr>
        <w:t xml:space="preserve">Directrices </w:t>
      </w:r>
      <w:r w:rsidR="00EB16C1">
        <w:rPr>
          <w:rFonts w:ascii="Arial" w:hAnsi="Arial" w:cs="Arial"/>
        </w:rPr>
        <w:t>G</w:t>
      </w:r>
      <w:r w:rsidR="00EB16C1" w:rsidRPr="00EB16C1">
        <w:rPr>
          <w:rFonts w:ascii="Arial" w:hAnsi="Arial" w:cs="Arial"/>
        </w:rPr>
        <w:t xml:space="preserve">enerales para el </w:t>
      </w:r>
      <w:r w:rsidR="00EB16C1">
        <w:rPr>
          <w:rFonts w:ascii="Arial" w:hAnsi="Arial" w:cs="Arial"/>
        </w:rPr>
        <w:t>E</w:t>
      </w:r>
      <w:r w:rsidR="00EB16C1" w:rsidRPr="00EB16C1">
        <w:rPr>
          <w:rFonts w:ascii="Arial" w:hAnsi="Arial" w:cs="Arial"/>
        </w:rPr>
        <w:t xml:space="preserve">stablecimiento y </w:t>
      </w:r>
      <w:r w:rsidR="00EB16C1">
        <w:rPr>
          <w:rFonts w:ascii="Arial" w:hAnsi="Arial" w:cs="Arial"/>
        </w:rPr>
        <w:t>F</w:t>
      </w:r>
      <w:r w:rsidR="00EB16C1" w:rsidRPr="00EB16C1">
        <w:rPr>
          <w:rFonts w:ascii="Arial" w:hAnsi="Arial" w:cs="Arial"/>
        </w:rPr>
        <w:t xml:space="preserve">uncionamiento </w:t>
      </w:r>
      <w:bookmarkStart w:id="66" w:name="_Hlk124503694"/>
      <w:r w:rsidR="00EB16C1" w:rsidRPr="00EB16C1">
        <w:rPr>
          <w:rFonts w:ascii="Arial" w:hAnsi="Arial" w:cs="Arial"/>
        </w:rPr>
        <w:t>del Sistema Específico de Valoración del Riesgo Institucional</w:t>
      </w:r>
      <w:bookmarkEnd w:id="66"/>
      <w:r w:rsidR="00EB16C1" w:rsidRPr="00EB16C1">
        <w:rPr>
          <w:rFonts w:ascii="Arial" w:hAnsi="Arial" w:cs="Arial"/>
        </w:rPr>
        <w:t xml:space="preserve"> (SEVRI)</w:t>
      </w:r>
      <w:r w:rsidRPr="00746275">
        <w:rPr>
          <w:rStyle w:val="Refdenotaalpie"/>
          <w:rFonts w:ascii="Arial" w:hAnsi="Arial" w:cs="Arial"/>
        </w:rPr>
        <w:footnoteReference w:id="8"/>
      </w:r>
      <w:r w:rsidRPr="00841967">
        <w:rPr>
          <w:rFonts w:ascii="Arial" w:hAnsi="Arial" w:cs="Arial"/>
        </w:rPr>
        <w:t xml:space="preserve">, </w:t>
      </w:r>
      <w:bookmarkEnd w:id="65"/>
      <w:r w:rsidRPr="00841967">
        <w:rPr>
          <w:rFonts w:ascii="Arial" w:hAnsi="Arial" w:cs="Arial"/>
        </w:rPr>
        <w:t xml:space="preserve">señala, </w:t>
      </w:r>
      <w:r w:rsidR="006D35F9" w:rsidRPr="006D35F9">
        <w:rPr>
          <w:rFonts w:ascii="Arial" w:hAnsi="Arial" w:cs="Arial"/>
        </w:rPr>
        <w:t xml:space="preserve">en </w:t>
      </w:r>
      <w:r w:rsidR="002111ED">
        <w:rPr>
          <w:rFonts w:ascii="Arial" w:hAnsi="Arial" w:cs="Arial"/>
        </w:rPr>
        <w:t>el punto</w:t>
      </w:r>
      <w:r w:rsidR="006D35F9" w:rsidRPr="006D35F9">
        <w:rPr>
          <w:rFonts w:ascii="Arial" w:hAnsi="Arial" w:cs="Arial"/>
        </w:rPr>
        <w:t xml:space="preserve"> 3</w:t>
      </w:r>
      <w:r w:rsidR="006D35F9">
        <w:rPr>
          <w:rFonts w:ascii="Arial" w:hAnsi="Arial" w:cs="Arial"/>
        </w:rPr>
        <w:t>.3 sobre Ambiente de Apoyo</w:t>
      </w:r>
      <w:r>
        <w:rPr>
          <w:rFonts w:ascii="Arial" w:hAnsi="Arial" w:cs="Arial"/>
        </w:rPr>
        <w:t>, lo siguiente</w:t>
      </w:r>
      <w:r w:rsidRPr="00841967">
        <w:rPr>
          <w:rFonts w:ascii="Arial" w:hAnsi="Arial" w:cs="Arial"/>
        </w:rPr>
        <w:t>:</w:t>
      </w:r>
    </w:p>
    <w:p w14:paraId="2DB8D51A" w14:textId="77777777" w:rsidR="00E10F9C" w:rsidRPr="0053763F" w:rsidRDefault="00E10F9C" w:rsidP="00E10F9C">
      <w:pPr>
        <w:spacing w:after="0" w:line="240" w:lineRule="auto"/>
        <w:contextualSpacing/>
        <w:jc w:val="both"/>
        <w:rPr>
          <w:rFonts w:ascii="Arial" w:hAnsi="Arial" w:cs="Arial"/>
        </w:rPr>
      </w:pPr>
    </w:p>
    <w:p w14:paraId="26D41426" w14:textId="77777777" w:rsidR="006D35F9" w:rsidRPr="006D35F9" w:rsidRDefault="00E10F9C" w:rsidP="006D35F9">
      <w:pPr>
        <w:spacing w:after="0" w:line="240" w:lineRule="auto"/>
        <w:ind w:left="708" w:right="709"/>
        <w:contextualSpacing/>
        <w:jc w:val="both"/>
        <w:rPr>
          <w:rFonts w:ascii="Arial" w:hAnsi="Arial" w:cs="Arial"/>
          <w:i/>
        </w:rPr>
      </w:pPr>
      <w:r w:rsidRPr="00841967">
        <w:rPr>
          <w:rFonts w:ascii="Arial" w:hAnsi="Arial" w:cs="Arial"/>
          <w:i/>
        </w:rPr>
        <w:t>“</w:t>
      </w:r>
      <w:r w:rsidR="006D35F9" w:rsidRPr="006D35F9">
        <w:rPr>
          <w:rFonts w:ascii="Arial" w:hAnsi="Arial" w:cs="Arial"/>
          <w:i/>
        </w:rPr>
        <w:t xml:space="preserve">En cada institución deberá existir una </w:t>
      </w:r>
      <w:bookmarkStart w:id="67" w:name="_Hlk124503638"/>
      <w:r w:rsidR="006D35F9" w:rsidRPr="006D35F9">
        <w:rPr>
          <w:rFonts w:ascii="Arial" w:hAnsi="Arial" w:cs="Arial"/>
          <w:i/>
        </w:rPr>
        <w:t>estructura organizacional que apoye la operación del SEVRI</w:t>
      </w:r>
      <w:bookmarkEnd w:id="67"/>
      <w:r w:rsidR="006D35F9" w:rsidRPr="006D35F9">
        <w:rPr>
          <w:rFonts w:ascii="Arial" w:hAnsi="Arial" w:cs="Arial"/>
          <w:i/>
        </w:rPr>
        <w:t>, así como promoverse una cultura favorable al efecto. Para lo anterior, se deberá promover al menos:</w:t>
      </w:r>
    </w:p>
    <w:p w14:paraId="3115B725" w14:textId="77777777" w:rsidR="006D35F9" w:rsidRPr="006D35F9" w:rsidRDefault="006D35F9" w:rsidP="006D35F9">
      <w:pPr>
        <w:spacing w:after="0" w:line="240" w:lineRule="auto"/>
        <w:ind w:left="708" w:right="709"/>
        <w:contextualSpacing/>
        <w:jc w:val="both"/>
        <w:rPr>
          <w:rFonts w:ascii="Arial" w:hAnsi="Arial" w:cs="Arial"/>
          <w:i/>
        </w:rPr>
      </w:pPr>
      <w:r w:rsidRPr="006D35F9">
        <w:rPr>
          <w:rFonts w:ascii="Arial" w:hAnsi="Arial" w:cs="Arial"/>
          <w:i/>
        </w:rPr>
        <w:t>a)</w:t>
      </w:r>
      <w:r w:rsidRPr="006D35F9">
        <w:rPr>
          <w:rFonts w:ascii="Arial" w:hAnsi="Arial" w:cs="Arial"/>
          <w:i/>
        </w:rPr>
        <w:tab/>
        <w:t>Conciencia en los funcionarios de la importancia de la valoración del riesgo para el cumplimiento de los objetivos institucionales.</w:t>
      </w:r>
    </w:p>
    <w:p w14:paraId="291FC8E8" w14:textId="77777777" w:rsidR="006D35F9" w:rsidRPr="006D35F9" w:rsidRDefault="006D35F9" w:rsidP="006D35F9">
      <w:pPr>
        <w:spacing w:after="0" w:line="240" w:lineRule="auto"/>
        <w:ind w:left="708" w:right="709"/>
        <w:contextualSpacing/>
        <w:jc w:val="both"/>
        <w:rPr>
          <w:rFonts w:ascii="Arial" w:hAnsi="Arial" w:cs="Arial"/>
          <w:i/>
        </w:rPr>
      </w:pPr>
      <w:r w:rsidRPr="006D35F9">
        <w:rPr>
          <w:rFonts w:ascii="Arial" w:hAnsi="Arial" w:cs="Arial"/>
          <w:i/>
        </w:rPr>
        <w:t>b)</w:t>
      </w:r>
      <w:r w:rsidRPr="006D35F9">
        <w:rPr>
          <w:rFonts w:ascii="Arial" w:hAnsi="Arial" w:cs="Arial"/>
          <w:i/>
        </w:rPr>
        <w:tab/>
        <w:t>Uniformidad en el concepto de riesgo en los funcionarios de la institución.</w:t>
      </w:r>
    </w:p>
    <w:p w14:paraId="436B242E" w14:textId="77777777" w:rsidR="006D35F9" w:rsidRPr="006D35F9" w:rsidRDefault="006D35F9" w:rsidP="006D35F9">
      <w:pPr>
        <w:spacing w:after="0" w:line="240" w:lineRule="auto"/>
        <w:ind w:left="708" w:right="709"/>
        <w:contextualSpacing/>
        <w:jc w:val="both"/>
        <w:rPr>
          <w:rFonts w:ascii="Arial" w:hAnsi="Arial" w:cs="Arial"/>
          <w:i/>
        </w:rPr>
      </w:pPr>
      <w:r w:rsidRPr="006D35F9">
        <w:rPr>
          <w:rFonts w:ascii="Arial" w:hAnsi="Arial" w:cs="Arial"/>
          <w:i/>
        </w:rPr>
        <w:t>c)</w:t>
      </w:r>
      <w:r w:rsidRPr="006D35F9">
        <w:rPr>
          <w:rFonts w:ascii="Arial" w:hAnsi="Arial" w:cs="Arial"/>
          <w:i/>
        </w:rPr>
        <w:tab/>
        <w:t>Actitud proactiva que permita establecer y tomar acciones anticipando las consecuencias que eventualmente puedan afectar el cumplimiento de los objetivos.</w:t>
      </w:r>
    </w:p>
    <w:p w14:paraId="0057BF86" w14:textId="77777777" w:rsidR="006D35F9" w:rsidRPr="006D35F9" w:rsidRDefault="006D35F9" w:rsidP="006D35F9">
      <w:pPr>
        <w:spacing w:after="0" w:line="240" w:lineRule="auto"/>
        <w:ind w:left="708" w:right="709"/>
        <w:contextualSpacing/>
        <w:jc w:val="both"/>
        <w:rPr>
          <w:rFonts w:ascii="Arial" w:hAnsi="Arial" w:cs="Arial"/>
          <w:i/>
        </w:rPr>
      </w:pPr>
      <w:r w:rsidRPr="006D35F9">
        <w:rPr>
          <w:rFonts w:ascii="Arial" w:hAnsi="Arial" w:cs="Arial"/>
          <w:i/>
        </w:rPr>
        <w:t>d)</w:t>
      </w:r>
      <w:r w:rsidRPr="006D35F9">
        <w:rPr>
          <w:rFonts w:ascii="Arial" w:hAnsi="Arial" w:cs="Arial"/>
          <w:i/>
        </w:rPr>
        <w:tab/>
        <w:t>Responsabilidades definidas claramente en relación con el SEVRI para los funcionarios de los diferentes niveles de la estructura organizacional.</w:t>
      </w:r>
    </w:p>
    <w:p w14:paraId="415B1DBE" w14:textId="77777777" w:rsidR="00E10F9C" w:rsidRDefault="006D35F9" w:rsidP="006D35F9">
      <w:pPr>
        <w:spacing w:after="0" w:line="240" w:lineRule="auto"/>
        <w:ind w:left="708" w:right="709"/>
        <w:contextualSpacing/>
        <w:jc w:val="both"/>
        <w:rPr>
          <w:rFonts w:ascii="Arial" w:hAnsi="Arial" w:cs="Arial"/>
          <w:i/>
        </w:rPr>
      </w:pPr>
      <w:r w:rsidRPr="006D35F9">
        <w:rPr>
          <w:rFonts w:ascii="Arial" w:hAnsi="Arial" w:cs="Arial"/>
          <w:i/>
        </w:rPr>
        <w:t>e)</w:t>
      </w:r>
      <w:r w:rsidRPr="006D35F9">
        <w:rPr>
          <w:rFonts w:ascii="Arial" w:hAnsi="Arial" w:cs="Arial"/>
          <w:i/>
        </w:rPr>
        <w:tab/>
        <w:t>Mecanismos de coordinación y comunicación entre los funcionarios y las unidades internas para la debida operación del SEVRI</w:t>
      </w:r>
      <w:r w:rsidR="00E10F9C">
        <w:rPr>
          <w:rFonts w:ascii="Arial" w:hAnsi="Arial" w:cs="Arial"/>
          <w:i/>
        </w:rPr>
        <w:t>”</w:t>
      </w:r>
    </w:p>
    <w:p w14:paraId="5F90E65A" w14:textId="77777777" w:rsidR="00C62D0A" w:rsidRDefault="00C62D0A" w:rsidP="00C62D0A">
      <w:pPr>
        <w:spacing w:after="0" w:line="240" w:lineRule="auto"/>
        <w:ind w:right="709"/>
        <w:contextualSpacing/>
        <w:jc w:val="both"/>
        <w:rPr>
          <w:rFonts w:ascii="Arial" w:hAnsi="Arial" w:cs="Arial"/>
          <w:i/>
        </w:rPr>
      </w:pPr>
    </w:p>
    <w:p w14:paraId="1DBBF99C" w14:textId="03CC480A" w:rsidR="0043596F" w:rsidRDefault="009651BE" w:rsidP="006D4825">
      <w:pPr>
        <w:spacing w:after="0" w:line="240" w:lineRule="auto"/>
        <w:ind w:right="709"/>
        <w:contextualSpacing/>
        <w:jc w:val="both"/>
        <w:rPr>
          <w:rFonts w:ascii="Arial" w:hAnsi="Arial" w:cs="Arial"/>
        </w:rPr>
      </w:pPr>
      <w:r>
        <w:rPr>
          <w:rFonts w:ascii="Arial" w:hAnsi="Arial" w:cs="Arial"/>
        </w:rPr>
        <w:t>Sobre el particular</w:t>
      </w:r>
      <w:r w:rsidR="0043596F">
        <w:rPr>
          <w:rFonts w:ascii="Arial" w:hAnsi="Arial" w:cs="Arial"/>
        </w:rPr>
        <w:t>,</w:t>
      </w:r>
      <w:r w:rsidR="009F63D1">
        <w:rPr>
          <w:rFonts w:ascii="Arial" w:hAnsi="Arial" w:cs="Arial"/>
        </w:rPr>
        <w:t xml:space="preserve"> el Ministerio de Hacienda no tiene </w:t>
      </w:r>
      <w:bookmarkStart w:id="68" w:name="_Hlk124770767"/>
      <w:r w:rsidR="009F63D1">
        <w:rPr>
          <w:rFonts w:ascii="Arial" w:hAnsi="Arial" w:cs="Arial"/>
        </w:rPr>
        <w:t>definido claramente</w:t>
      </w:r>
      <w:r w:rsidR="0043596F">
        <w:rPr>
          <w:rFonts w:ascii="Arial" w:hAnsi="Arial" w:cs="Arial"/>
        </w:rPr>
        <w:t xml:space="preserve"> </w:t>
      </w:r>
      <w:r w:rsidR="0043596F" w:rsidRPr="009651BE">
        <w:rPr>
          <w:rFonts w:ascii="Arial" w:hAnsi="Arial" w:cs="Arial"/>
        </w:rPr>
        <w:t xml:space="preserve">el componente Ambiente de Apoyo al SEVRI, </w:t>
      </w:r>
      <w:r w:rsidR="0043596F">
        <w:rPr>
          <w:rFonts w:ascii="Arial" w:hAnsi="Arial" w:cs="Arial"/>
        </w:rPr>
        <w:t xml:space="preserve">a fin de </w:t>
      </w:r>
      <w:r w:rsidR="0043596F" w:rsidRPr="006D4825">
        <w:rPr>
          <w:rFonts w:ascii="Arial" w:hAnsi="Arial" w:cs="Arial"/>
        </w:rPr>
        <w:t>dar mantenimiento y perfeccionamiento del Sistema Específico de Valoración del Riesgo Institucional</w:t>
      </w:r>
      <w:r w:rsidR="0043596F">
        <w:rPr>
          <w:rFonts w:ascii="Arial" w:hAnsi="Arial" w:cs="Arial"/>
        </w:rPr>
        <w:t>.</w:t>
      </w:r>
    </w:p>
    <w:bookmarkEnd w:id="68"/>
    <w:p w14:paraId="7C702641" w14:textId="77777777" w:rsidR="006D35F9" w:rsidRDefault="006D35F9" w:rsidP="00C62D0A">
      <w:pPr>
        <w:spacing w:after="0" w:line="240" w:lineRule="auto"/>
        <w:ind w:right="709"/>
        <w:contextualSpacing/>
        <w:jc w:val="both"/>
        <w:rPr>
          <w:rFonts w:ascii="Arial" w:hAnsi="Arial" w:cs="Arial"/>
        </w:rPr>
      </w:pPr>
    </w:p>
    <w:p w14:paraId="7578764F" w14:textId="7E848C46" w:rsidR="009F63D1" w:rsidRDefault="00224881" w:rsidP="009651BE">
      <w:pPr>
        <w:spacing w:after="0" w:line="240" w:lineRule="auto"/>
        <w:ind w:right="709"/>
        <w:contextualSpacing/>
        <w:jc w:val="both"/>
        <w:rPr>
          <w:rFonts w:ascii="Arial" w:hAnsi="Arial" w:cs="Arial"/>
        </w:rPr>
      </w:pPr>
      <w:r>
        <w:rPr>
          <w:rFonts w:ascii="Arial" w:hAnsi="Arial" w:cs="Arial"/>
        </w:rPr>
        <w:t xml:space="preserve">Esta situación obedece </w:t>
      </w:r>
      <w:r w:rsidR="00CF7021">
        <w:rPr>
          <w:rFonts w:ascii="Arial" w:hAnsi="Arial" w:cs="Arial"/>
        </w:rPr>
        <w:t xml:space="preserve">a </w:t>
      </w:r>
      <w:r>
        <w:rPr>
          <w:rFonts w:ascii="Arial" w:hAnsi="Arial" w:cs="Arial"/>
        </w:rPr>
        <w:t xml:space="preserve">la ausencia de </w:t>
      </w:r>
      <w:r w:rsidRPr="009651BE">
        <w:rPr>
          <w:rFonts w:ascii="Arial" w:hAnsi="Arial" w:cs="Arial"/>
        </w:rPr>
        <w:t xml:space="preserve">mecanismos de control para conformar </w:t>
      </w:r>
      <w:r>
        <w:rPr>
          <w:rFonts w:ascii="Arial" w:hAnsi="Arial" w:cs="Arial"/>
        </w:rPr>
        <w:t xml:space="preserve">razonablemente </w:t>
      </w:r>
      <w:r w:rsidR="0043596F">
        <w:rPr>
          <w:rFonts w:ascii="Arial" w:hAnsi="Arial" w:cs="Arial"/>
        </w:rPr>
        <w:t>la</w:t>
      </w:r>
      <w:r w:rsidRPr="00E67DDC">
        <w:rPr>
          <w:rFonts w:ascii="Arial" w:hAnsi="Arial" w:cs="Arial"/>
        </w:rPr>
        <w:t xml:space="preserve"> estructura organizacional que apoy</w:t>
      </w:r>
      <w:r>
        <w:rPr>
          <w:rFonts w:ascii="Arial" w:hAnsi="Arial" w:cs="Arial"/>
        </w:rPr>
        <w:t>e</w:t>
      </w:r>
      <w:r w:rsidRPr="00E67DDC">
        <w:rPr>
          <w:rFonts w:ascii="Arial" w:hAnsi="Arial" w:cs="Arial"/>
        </w:rPr>
        <w:t xml:space="preserve"> la operación del S</w:t>
      </w:r>
      <w:r>
        <w:rPr>
          <w:rFonts w:ascii="Arial" w:hAnsi="Arial" w:cs="Arial"/>
        </w:rPr>
        <w:t>EVRI</w:t>
      </w:r>
      <w:r w:rsidR="00CF7476">
        <w:rPr>
          <w:rFonts w:ascii="Arial" w:hAnsi="Arial" w:cs="Arial"/>
        </w:rPr>
        <w:t xml:space="preserve">, considerando que </w:t>
      </w:r>
      <w:r w:rsidR="00CF7021">
        <w:rPr>
          <w:rFonts w:ascii="Arial" w:hAnsi="Arial" w:cs="Arial"/>
        </w:rPr>
        <w:t>los</w:t>
      </w:r>
      <w:r w:rsidR="0043596F">
        <w:rPr>
          <w:rFonts w:ascii="Arial" w:hAnsi="Arial" w:cs="Arial"/>
        </w:rPr>
        <w:t xml:space="preserve"> </w:t>
      </w:r>
      <w:r w:rsidR="0043596F" w:rsidRPr="009651BE">
        <w:rPr>
          <w:rFonts w:ascii="Arial" w:hAnsi="Arial" w:cs="Arial"/>
        </w:rPr>
        <w:t xml:space="preserve">documentos </w:t>
      </w:r>
      <w:r w:rsidR="0043596F">
        <w:rPr>
          <w:rFonts w:ascii="Arial" w:hAnsi="Arial" w:cs="Arial"/>
        </w:rPr>
        <w:t>emitidos a lo interno del Ministerio Hacienda,</w:t>
      </w:r>
      <w:r w:rsidR="0043596F" w:rsidRPr="009651BE">
        <w:rPr>
          <w:rFonts w:ascii="Arial" w:hAnsi="Arial" w:cs="Arial"/>
        </w:rPr>
        <w:t xml:space="preserve"> </w:t>
      </w:r>
      <w:r w:rsidR="00041033">
        <w:rPr>
          <w:rFonts w:ascii="Arial" w:hAnsi="Arial" w:cs="Arial"/>
        </w:rPr>
        <w:t xml:space="preserve">únicamente </w:t>
      </w:r>
      <w:r w:rsidR="0043596F">
        <w:rPr>
          <w:rFonts w:ascii="Arial" w:hAnsi="Arial" w:cs="Arial"/>
        </w:rPr>
        <w:t xml:space="preserve">refieren </w:t>
      </w:r>
      <w:r w:rsidR="0043596F" w:rsidRPr="00F27C25">
        <w:rPr>
          <w:rFonts w:ascii="Arial" w:hAnsi="Arial" w:cs="Arial"/>
        </w:rPr>
        <w:t xml:space="preserve">en forma general </w:t>
      </w:r>
      <w:r w:rsidR="0043596F">
        <w:rPr>
          <w:rFonts w:ascii="Arial" w:hAnsi="Arial" w:cs="Arial"/>
        </w:rPr>
        <w:t xml:space="preserve">el tema de </w:t>
      </w:r>
      <w:r w:rsidR="0043596F" w:rsidRPr="00F27C25">
        <w:rPr>
          <w:rFonts w:ascii="Arial" w:hAnsi="Arial" w:cs="Arial"/>
        </w:rPr>
        <w:t>las responsabilidades</w:t>
      </w:r>
      <w:r w:rsidR="0043596F">
        <w:rPr>
          <w:rFonts w:ascii="Arial" w:hAnsi="Arial" w:cs="Arial"/>
        </w:rPr>
        <w:t>.</w:t>
      </w:r>
      <w:r w:rsidR="00F27C25">
        <w:rPr>
          <w:rFonts w:ascii="Arial" w:hAnsi="Arial" w:cs="Arial"/>
        </w:rPr>
        <w:t xml:space="preserve"> </w:t>
      </w:r>
    </w:p>
    <w:p w14:paraId="295FA7B7" w14:textId="77777777" w:rsidR="009F63D1" w:rsidRDefault="009F63D1" w:rsidP="00C62D0A">
      <w:pPr>
        <w:spacing w:after="0" w:line="240" w:lineRule="auto"/>
        <w:ind w:right="709"/>
        <w:contextualSpacing/>
        <w:jc w:val="both"/>
        <w:rPr>
          <w:rFonts w:ascii="Arial" w:hAnsi="Arial" w:cs="Arial"/>
        </w:rPr>
      </w:pPr>
    </w:p>
    <w:p w14:paraId="55B1EA6D" w14:textId="77777777" w:rsidR="006D35F9" w:rsidRDefault="00DC1715" w:rsidP="00C62D0A">
      <w:pPr>
        <w:spacing w:after="0" w:line="240" w:lineRule="auto"/>
        <w:ind w:right="709"/>
        <w:contextualSpacing/>
        <w:jc w:val="both"/>
        <w:rPr>
          <w:rFonts w:ascii="Arial" w:hAnsi="Arial" w:cs="Arial"/>
        </w:rPr>
      </w:pPr>
      <w:r w:rsidRPr="00DC1715">
        <w:rPr>
          <w:rFonts w:ascii="Arial" w:hAnsi="Arial" w:cs="Arial"/>
        </w:rPr>
        <w:t>La situaci</w:t>
      </w:r>
      <w:r>
        <w:rPr>
          <w:rFonts w:ascii="Arial" w:hAnsi="Arial" w:cs="Arial"/>
        </w:rPr>
        <w:t>ón expuesta</w:t>
      </w:r>
      <w:r w:rsidRPr="00DC1715">
        <w:rPr>
          <w:rFonts w:ascii="Arial" w:hAnsi="Arial" w:cs="Arial"/>
        </w:rPr>
        <w:t xml:space="preserve"> podría generar confusión sobre el grado de responsabilidad e injerencia en los diferentes procesos</w:t>
      </w:r>
      <w:r>
        <w:rPr>
          <w:rFonts w:ascii="Arial" w:hAnsi="Arial" w:cs="Arial"/>
        </w:rPr>
        <w:t xml:space="preserve"> y</w:t>
      </w:r>
      <w:r w:rsidRPr="00DC1715">
        <w:rPr>
          <w:rFonts w:ascii="Arial" w:hAnsi="Arial" w:cs="Arial"/>
        </w:rPr>
        <w:t xml:space="preserve"> actividades que debe</w:t>
      </w:r>
      <w:r>
        <w:rPr>
          <w:rFonts w:ascii="Arial" w:hAnsi="Arial" w:cs="Arial"/>
        </w:rPr>
        <w:t>n</w:t>
      </w:r>
      <w:r w:rsidRPr="00DC1715">
        <w:rPr>
          <w:rFonts w:ascii="Arial" w:hAnsi="Arial" w:cs="Arial"/>
        </w:rPr>
        <w:t xml:space="preserve"> realizar</w:t>
      </w:r>
      <w:r>
        <w:rPr>
          <w:rFonts w:ascii="Arial" w:hAnsi="Arial" w:cs="Arial"/>
        </w:rPr>
        <w:t xml:space="preserve"> y </w:t>
      </w:r>
      <w:r w:rsidRPr="00DC1715">
        <w:rPr>
          <w:rFonts w:ascii="Arial" w:hAnsi="Arial" w:cs="Arial"/>
        </w:rPr>
        <w:t xml:space="preserve">que se persiguen con la implementación y puesta en operación del </w:t>
      </w:r>
      <w:r w:rsidR="009F63D1" w:rsidRPr="009F63D1">
        <w:rPr>
          <w:rFonts w:ascii="Arial" w:hAnsi="Arial" w:cs="Arial"/>
        </w:rPr>
        <w:t>sistema específico de valoración del riesgo institucional</w:t>
      </w:r>
      <w:r w:rsidR="00AB3A97">
        <w:rPr>
          <w:rFonts w:ascii="Arial" w:hAnsi="Arial" w:cs="Arial"/>
        </w:rPr>
        <w:t>.</w:t>
      </w:r>
    </w:p>
    <w:p w14:paraId="257B345C" w14:textId="59CFA5D3" w:rsidR="006D35F9" w:rsidRDefault="006D35F9" w:rsidP="00C62D0A">
      <w:pPr>
        <w:spacing w:after="0" w:line="240" w:lineRule="auto"/>
        <w:ind w:right="709"/>
        <w:contextualSpacing/>
        <w:jc w:val="both"/>
        <w:rPr>
          <w:rFonts w:ascii="Arial" w:hAnsi="Arial" w:cs="Arial"/>
        </w:rPr>
      </w:pPr>
    </w:p>
    <w:p w14:paraId="0E198478" w14:textId="77777777" w:rsidR="008A4A6D" w:rsidRPr="00C62D0A" w:rsidRDefault="008A4A6D" w:rsidP="00C62D0A">
      <w:pPr>
        <w:spacing w:after="0" w:line="240" w:lineRule="auto"/>
        <w:ind w:right="709"/>
        <w:contextualSpacing/>
        <w:jc w:val="both"/>
        <w:rPr>
          <w:rFonts w:ascii="Arial" w:hAnsi="Arial" w:cs="Arial"/>
        </w:rPr>
      </w:pPr>
    </w:p>
    <w:p w14:paraId="02948252" w14:textId="77777777" w:rsidR="00041F85" w:rsidRDefault="00041F85" w:rsidP="00DC7AD0">
      <w:pPr>
        <w:spacing w:after="0" w:line="240" w:lineRule="auto"/>
        <w:contextualSpacing/>
        <w:jc w:val="both"/>
        <w:rPr>
          <w:rFonts w:ascii="Arial" w:hAnsi="Arial" w:cs="Arial"/>
        </w:rPr>
      </w:pPr>
    </w:p>
    <w:p w14:paraId="16582F8D" w14:textId="0A588959" w:rsidR="00957634" w:rsidRDefault="00957634" w:rsidP="00957634">
      <w:pPr>
        <w:pStyle w:val="Ttulo1"/>
        <w:keepNext w:val="0"/>
        <w:keepLines w:val="0"/>
        <w:spacing w:before="0" w:after="0"/>
        <w:ind w:left="567" w:right="51" w:hanging="567"/>
        <w:contextualSpacing/>
        <w:jc w:val="both"/>
        <w:rPr>
          <w:rFonts w:ascii="Arial" w:hAnsi="Arial" w:cs="Arial"/>
          <w:b/>
          <w:color w:val="44546A" w:themeColor="text2"/>
          <w:sz w:val="22"/>
          <w:szCs w:val="22"/>
          <w:lang w:val="es-ES_tradnl" w:eastAsia="es-ES"/>
        </w:rPr>
      </w:pPr>
      <w:bookmarkStart w:id="69" w:name="_Toc125702639"/>
      <w:r w:rsidRPr="00412E8C">
        <w:rPr>
          <w:rFonts w:ascii="Arial" w:hAnsi="Arial" w:cs="Arial"/>
          <w:b/>
          <w:color w:val="44546A" w:themeColor="text2"/>
          <w:sz w:val="22"/>
          <w:szCs w:val="22"/>
          <w:lang w:val="es-ES_tradnl" w:eastAsia="es-ES"/>
        </w:rPr>
        <w:t>2.</w:t>
      </w:r>
      <w:r w:rsidR="00967384">
        <w:rPr>
          <w:rFonts w:ascii="Arial" w:hAnsi="Arial" w:cs="Arial"/>
          <w:b/>
          <w:color w:val="44546A" w:themeColor="text2"/>
          <w:sz w:val="22"/>
          <w:szCs w:val="22"/>
          <w:lang w:val="es-ES_tradnl" w:eastAsia="es-ES"/>
        </w:rPr>
        <w:t>2</w:t>
      </w:r>
      <w:r w:rsidRPr="00412E8C">
        <w:rPr>
          <w:rFonts w:ascii="Arial" w:hAnsi="Arial" w:cs="Arial"/>
          <w:b/>
          <w:color w:val="44546A" w:themeColor="text2"/>
          <w:sz w:val="22"/>
          <w:szCs w:val="22"/>
          <w:lang w:val="es-ES_tradnl" w:eastAsia="es-ES"/>
        </w:rPr>
        <w:t xml:space="preserve"> Sobre </w:t>
      </w:r>
      <w:r w:rsidR="00812D60">
        <w:rPr>
          <w:rFonts w:ascii="Arial" w:hAnsi="Arial" w:cs="Arial"/>
          <w:b/>
          <w:color w:val="44546A" w:themeColor="text2"/>
          <w:sz w:val="22"/>
          <w:szCs w:val="22"/>
          <w:lang w:val="es-ES_tradnl" w:eastAsia="es-ES"/>
        </w:rPr>
        <w:t xml:space="preserve">la </w:t>
      </w:r>
      <w:bookmarkStart w:id="70" w:name="_Hlk122613349"/>
      <w:r w:rsidR="00812D60" w:rsidRPr="00812D60">
        <w:rPr>
          <w:rFonts w:ascii="Arial" w:hAnsi="Arial" w:cs="Arial"/>
          <w:b/>
          <w:color w:val="44546A" w:themeColor="text2"/>
          <w:sz w:val="22"/>
          <w:szCs w:val="22"/>
          <w:lang w:val="es-ES_tradnl" w:eastAsia="es-ES"/>
        </w:rPr>
        <w:t>Guía Metodológica para la Valoración de</w:t>
      </w:r>
      <w:r w:rsidR="00E06B64">
        <w:rPr>
          <w:rFonts w:ascii="Arial" w:hAnsi="Arial" w:cs="Arial"/>
          <w:b/>
          <w:color w:val="44546A" w:themeColor="text2"/>
          <w:sz w:val="22"/>
          <w:szCs w:val="22"/>
          <w:lang w:val="es-ES_tradnl" w:eastAsia="es-ES"/>
        </w:rPr>
        <w:t xml:space="preserve"> </w:t>
      </w:r>
      <w:r w:rsidR="00812D60" w:rsidRPr="00812D60">
        <w:rPr>
          <w:rFonts w:ascii="Arial" w:hAnsi="Arial" w:cs="Arial"/>
          <w:b/>
          <w:color w:val="44546A" w:themeColor="text2"/>
          <w:sz w:val="22"/>
          <w:szCs w:val="22"/>
          <w:lang w:val="es-ES_tradnl" w:eastAsia="es-ES"/>
        </w:rPr>
        <w:t>Riesgo Institucional</w:t>
      </w:r>
      <w:bookmarkEnd w:id="70"/>
      <w:bookmarkEnd w:id="69"/>
      <w:r w:rsidR="00812D60">
        <w:rPr>
          <w:rFonts w:ascii="Arial" w:hAnsi="Arial" w:cs="Arial"/>
          <w:b/>
          <w:color w:val="44546A" w:themeColor="text2"/>
          <w:sz w:val="22"/>
          <w:szCs w:val="22"/>
          <w:lang w:val="es-ES_tradnl" w:eastAsia="es-ES"/>
        </w:rPr>
        <w:t xml:space="preserve"> </w:t>
      </w:r>
    </w:p>
    <w:p w14:paraId="5024EAB2" w14:textId="77777777" w:rsidR="00812D60" w:rsidRDefault="00812D60" w:rsidP="00812D60">
      <w:pPr>
        <w:rPr>
          <w:lang w:val="es-ES_tradnl" w:eastAsia="es-ES"/>
        </w:rPr>
      </w:pPr>
    </w:p>
    <w:p w14:paraId="334CA188" w14:textId="0199BFE7" w:rsidR="00087CE5" w:rsidRDefault="00087CE5" w:rsidP="00087CE5">
      <w:pPr>
        <w:pStyle w:val="Ttulo1"/>
        <w:keepNext w:val="0"/>
        <w:keepLines w:val="0"/>
        <w:spacing w:before="0" w:after="0"/>
        <w:ind w:left="567" w:right="51" w:hanging="567"/>
        <w:contextualSpacing/>
        <w:jc w:val="both"/>
        <w:rPr>
          <w:rFonts w:ascii="Arial" w:hAnsi="Arial" w:cs="Arial"/>
          <w:b/>
          <w:color w:val="44546A" w:themeColor="text2"/>
          <w:sz w:val="22"/>
          <w:szCs w:val="22"/>
          <w:lang w:val="es-ES_tradnl" w:eastAsia="es-ES"/>
        </w:rPr>
      </w:pPr>
      <w:bookmarkStart w:id="71" w:name="_Toc125702640"/>
      <w:r w:rsidRPr="00412E8C">
        <w:rPr>
          <w:rFonts w:ascii="Arial" w:hAnsi="Arial" w:cs="Arial"/>
          <w:b/>
          <w:color w:val="44546A" w:themeColor="text2"/>
          <w:sz w:val="22"/>
          <w:szCs w:val="22"/>
          <w:lang w:val="es-ES_tradnl" w:eastAsia="es-ES"/>
        </w:rPr>
        <w:t>2.</w:t>
      </w:r>
      <w:r>
        <w:rPr>
          <w:rFonts w:ascii="Arial" w:hAnsi="Arial" w:cs="Arial"/>
          <w:b/>
          <w:color w:val="44546A" w:themeColor="text2"/>
          <w:sz w:val="22"/>
          <w:szCs w:val="22"/>
          <w:lang w:val="es-ES_tradnl" w:eastAsia="es-ES"/>
        </w:rPr>
        <w:t>2.1</w:t>
      </w:r>
      <w:r w:rsidRPr="00412E8C">
        <w:rPr>
          <w:rFonts w:ascii="Arial" w:hAnsi="Arial" w:cs="Arial"/>
          <w:b/>
          <w:color w:val="44546A" w:themeColor="text2"/>
          <w:sz w:val="22"/>
          <w:szCs w:val="22"/>
          <w:lang w:val="es-ES_tradnl" w:eastAsia="es-ES"/>
        </w:rPr>
        <w:t xml:space="preserve"> Sobre </w:t>
      </w:r>
      <w:bookmarkStart w:id="72" w:name="_Hlk124860077"/>
      <w:r>
        <w:rPr>
          <w:rFonts w:ascii="Arial" w:hAnsi="Arial" w:cs="Arial"/>
          <w:b/>
          <w:color w:val="44546A" w:themeColor="text2"/>
          <w:sz w:val="22"/>
          <w:szCs w:val="22"/>
          <w:lang w:val="es-ES_tradnl" w:eastAsia="es-ES"/>
        </w:rPr>
        <w:t xml:space="preserve">el cumplimiento de lo dispuesto en la </w:t>
      </w:r>
      <w:r w:rsidRPr="00812D60">
        <w:rPr>
          <w:rFonts w:ascii="Arial" w:hAnsi="Arial" w:cs="Arial"/>
          <w:b/>
          <w:color w:val="44546A" w:themeColor="text2"/>
          <w:sz w:val="22"/>
          <w:szCs w:val="22"/>
          <w:lang w:val="es-ES_tradnl" w:eastAsia="es-ES"/>
        </w:rPr>
        <w:t>Guía Metodológica</w:t>
      </w:r>
      <w:bookmarkEnd w:id="72"/>
      <w:bookmarkEnd w:id="71"/>
    </w:p>
    <w:p w14:paraId="1DDDA358" w14:textId="77777777" w:rsidR="00432A9D" w:rsidRDefault="00432A9D" w:rsidP="00641B4B">
      <w:pPr>
        <w:spacing w:after="0" w:line="240" w:lineRule="auto"/>
        <w:contextualSpacing/>
        <w:jc w:val="both"/>
        <w:rPr>
          <w:rFonts w:ascii="Arial" w:hAnsi="Arial" w:cs="Arial"/>
        </w:rPr>
      </w:pPr>
    </w:p>
    <w:p w14:paraId="5AD01EA4" w14:textId="77777777" w:rsidR="00812D60" w:rsidRDefault="00812D60" w:rsidP="00641B4B">
      <w:pPr>
        <w:spacing w:after="0" w:line="240" w:lineRule="auto"/>
        <w:contextualSpacing/>
        <w:jc w:val="both"/>
        <w:rPr>
          <w:rFonts w:ascii="Arial" w:hAnsi="Arial" w:cs="Arial"/>
        </w:rPr>
      </w:pPr>
      <w:r w:rsidRPr="00841967">
        <w:rPr>
          <w:rFonts w:ascii="Arial" w:hAnsi="Arial" w:cs="Arial"/>
        </w:rPr>
        <w:t xml:space="preserve">La </w:t>
      </w:r>
      <w:bookmarkStart w:id="73" w:name="_Hlk124422193"/>
      <w:bookmarkStart w:id="74" w:name="_Hlk124421745"/>
      <w:bookmarkStart w:id="75" w:name="_Hlk122614451"/>
      <w:r w:rsidR="00641B4B" w:rsidRPr="00641B4B">
        <w:rPr>
          <w:rFonts w:ascii="Arial" w:hAnsi="Arial" w:cs="Arial"/>
        </w:rPr>
        <w:t xml:space="preserve">Guía Metodológica </w:t>
      </w:r>
      <w:bookmarkEnd w:id="73"/>
      <w:r w:rsidR="00641B4B" w:rsidRPr="00641B4B">
        <w:rPr>
          <w:rFonts w:ascii="Arial" w:hAnsi="Arial" w:cs="Arial"/>
        </w:rPr>
        <w:t xml:space="preserve">Valoración de Riesgo Institucional </w:t>
      </w:r>
      <w:bookmarkEnd w:id="74"/>
      <w:r w:rsidR="00641B4B" w:rsidRPr="00641B4B">
        <w:rPr>
          <w:rFonts w:ascii="Arial" w:hAnsi="Arial" w:cs="Arial"/>
        </w:rPr>
        <w:t>MH-DIPI-PRO01-GUI-001</w:t>
      </w:r>
      <w:bookmarkEnd w:id="75"/>
      <w:r w:rsidR="00641B4B" w:rsidRPr="00746275">
        <w:rPr>
          <w:rStyle w:val="Refdenotaalpie"/>
          <w:rFonts w:ascii="Arial" w:hAnsi="Arial" w:cs="Arial"/>
        </w:rPr>
        <w:footnoteReference w:id="9"/>
      </w:r>
      <w:r w:rsidRPr="00841967">
        <w:rPr>
          <w:rFonts w:ascii="Arial" w:hAnsi="Arial" w:cs="Arial"/>
        </w:rPr>
        <w:t xml:space="preserve">, señala, </w:t>
      </w:r>
      <w:r w:rsidR="00641B4B">
        <w:rPr>
          <w:rFonts w:ascii="Arial" w:hAnsi="Arial" w:cs="Arial"/>
        </w:rPr>
        <w:t xml:space="preserve">en el punto </w:t>
      </w:r>
      <w:r w:rsidR="00641B4B" w:rsidRPr="00641B4B">
        <w:rPr>
          <w:rFonts w:ascii="Arial" w:hAnsi="Arial" w:cs="Arial"/>
        </w:rPr>
        <w:t>5.1.3. Documentar el plan detallado de trabajo</w:t>
      </w:r>
      <w:r w:rsidR="00641B4B">
        <w:rPr>
          <w:rFonts w:ascii="Arial" w:hAnsi="Arial" w:cs="Arial"/>
        </w:rPr>
        <w:t>, lo siguiente</w:t>
      </w:r>
      <w:r w:rsidRPr="00841967">
        <w:rPr>
          <w:rFonts w:ascii="Arial" w:hAnsi="Arial" w:cs="Arial"/>
        </w:rPr>
        <w:t>:</w:t>
      </w:r>
    </w:p>
    <w:p w14:paraId="7D3451D7" w14:textId="77777777" w:rsidR="00812D60" w:rsidRPr="0053763F" w:rsidRDefault="00812D60" w:rsidP="00812D60">
      <w:pPr>
        <w:spacing w:after="0" w:line="240" w:lineRule="auto"/>
        <w:contextualSpacing/>
        <w:jc w:val="both"/>
        <w:rPr>
          <w:rFonts w:ascii="Arial" w:hAnsi="Arial" w:cs="Arial"/>
        </w:rPr>
      </w:pPr>
    </w:p>
    <w:p w14:paraId="5B34A442" w14:textId="77777777" w:rsidR="00641B4B" w:rsidRDefault="00812D60" w:rsidP="00641B4B">
      <w:pPr>
        <w:spacing w:after="0" w:line="240" w:lineRule="auto"/>
        <w:ind w:left="708" w:right="709"/>
        <w:contextualSpacing/>
        <w:jc w:val="both"/>
        <w:rPr>
          <w:rFonts w:ascii="Arial" w:hAnsi="Arial" w:cs="Arial"/>
          <w:i/>
        </w:rPr>
      </w:pPr>
      <w:r w:rsidRPr="00841967">
        <w:rPr>
          <w:rFonts w:ascii="Arial" w:hAnsi="Arial" w:cs="Arial"/>
          <w:i/>
        </w:rPr>
        <w:t>“</w:t>
      </w:r>
      <w:r w:rsidR="00641B4B" w:rsidRPr="00641B4B">
        <w:rPr>
          <w:rFonts w:ascii="Arial" w:hAnsi="Arial" w:cs="Arial"/>
          <w:i/>
        </w:rPr>
        <w:t xml:space="preserve">La Dirección de </w:t>
      </w:r>
      <w:r w:rsidR="00641B4B" w:rsidRPr="00041033">
        <w:rPr>
          <w:rFonts w:ascii="Arial" w:hAnsi="Arial" w:cs="Arial"/>
          <w:i/>
        </w:rPr>
        <w:t xml:space="preserve">Planificacion Institucional debe elaborar, junto con su equipo de trabajo, un </w:t>
      </w:r>
      <w:bookmarkStart w:id="76" w:name="_Hlk124422149"/>
      <w:r w:rsidR="00641B4B" w:rsidRPr="00041033">
        <w:rPr>
          <w:rFonts w:ascii="Arial" w:hAnsi="Arial" w:cs="Arial"/>
          <w:i/>
        </w:rPr>
        <w:t>plan para llevar a cabo el Proceso de Gestion de la Valoración de Riesgos institucional en el Ministerio de Hacienda</w:t>
      </w:r>
      <w:bookmarkEnd w:id="76"/>
      <w:r w:rsidR="00641B4B" w:rsidRPr="00041033">
        <w:rPr>
          <w:rFonts w:ascii="Arial" w:hAnsi="Arial" w:cs="Arial"/>
          <w:i/>
        </w:rPr>
        <w:t>. Este plan debe considerar, como mínimo, los siguientes elementos</w:t>
      </w:r>
      <w:r w:rsidR="00641B4B" w:rsidRPr="00641B4B">
        <w:rPr>
          <w:rFonts w:ascii="Arial" w:hAnsi="Arial" w:cs="Arial"/>
          <w:i/>
        </w:rPr>
        <w:t>:</w:t>
      </w:r>
      <w:r w:rsidR="00641B4B">
        <w:rPr>
          <w:rFonts w:ascii="Arial" w:hAnsi="Arial" w:cs="Arial"/>
          <w:i/>
        </w:rPr>
        <w:t xml:space="preserve"> </w:t>
      </w:r>
      <w:r w:rsidR="00641B4B" w:rsidRPr="00641B4B">
        <w:rPr>
          <w:rFonts w:ascii="Arial" w:hAnsi="Arial" w:cs="Arial"/>
          <w:i/>
        </w:rPr>
        <w:t>1. Objetivos:</w:t>
      </w:r>
      <w:r w:rsidR="00641B4B">
        <w:rPr>
          <w:rFonts w:ascii="Arial" w:hAnsi="Arial" w:cs="Arial"/>
          <w:i/>
        </w:rPr>
        <w:t xml:space="preserve"> // </w:t>
      </w:r>
      <w:r w:rsidR="00641B4B" w:rsidRPr="00641B4B">
        <w:rPr>
          <w:rFonts w:ascii="Arial" w:hAnsi="Arial" w:cs="Arial"/>
          <w:i/>
        </w:rPr>
        <w:t xml:space="preserve">2. Alcance: </w:t>
      </w:r>
      <w:r w:rsidR="00641B4B">
        <w:rPr>
          <w:rFonts w:ascii="Arial" w:hAnsi="Arial" w:cs="Arial"/>
          <w:i/>
        </w:rPr>
        <w:t xml:space="preserve">// </w:t>
      </w:r>
      <w:r w:rsidR="00641B4B" w:rsidRPr="00641B4B">
        <w:rPr>
          <w:rFonts w:ascii="Arial" w:hAnsi="Arial" w:cs="Arial"/>
          <w:i/>
        </w:rPr>
        <w:t xml:space="preserve">3. Roles y responsabilidades: </w:t>
      </w:r>
      <w:r w:rsidR="00641B4B">
        <w:rPr>
          <w:rFonts w:ascii="Arial" w:hAnsi="Arial" w:cs="Arial"/>
          <w:i/>
        </w:rPr>
        <w:t xml:space="preserve">// </w:t>
      </w:r>
      <w:r w:rsidR="00641B4B" w:rsidRPr="00641B4B">
        <w:rPr>
          <w:rFonts w:ascii="Arial" w:hAnsi="Arial" w:cs="Arial"/>
          <w:i/>
        </w:rPr>
        <w:t xml:space="preserve">4. Recursos: </w:t>
      </w:r>
      <w:r w:rsidR="00641B4B">
        <w:rPr>
          <w:rFonts w:ascii="Arial" w:hAnsi="Arial" w:cs="Arial"/>
          <w:i/>
        </w:rPr>
        <w:t xml:space="preserve">// </w:t>
      </w:r>
      <w:r w:rsidR="00641B4B" w:rsidRPr="00641B4B">
        <w:rPr>
          <w:rFonts w:ascii="Arial" w:hAnsi="Arial" w:cs="Arial"/>
          <w:i/>
        </w:rPr>
        <w:t xml:space="preserve">5. Cronograma: </w:t>
      </w:r>
      <w:r w:rsidR="00641B4B">
        <w:rPr>
          <w:rFonts w:ascii="Arial" w:hAnsi="Arial" w:cs="Arial"/>
          <w:i/>
        </w:rPr>
        <w:t>//…”</w:t>
      </w:r>
    </w:p>
    <w:p w14:paraId="0D8E5B43" w14:textId="77777777" w:rsidR="00641B4B" w:rsidRDefault="00641B4B" w:rsidP="00641B4B">
      <w:pPr>
        <w:spacing w:after="0" w:line="240" w:lineRule="auto"/>
        <w:ind w:left="708" w:right="709"/>
        <w:contextualSpacing/>
        <w:jc w:val="both"/>
        <w:rPr>
          <w:rFonts w:ascii="Arial" w:hAnsi="Arial" w:cs="Arial"/>
          <w:i/>
        </w:rPr>
      </w:pPr>
    </w:p>
    <w:p w14:paraId="723A31F8" w14:textId="721CF776" w:rsidR="00812D60" w:rsidRPr="00446D19" w:rsidRDefault="00812D60" w:rsidP="00041033">
      <w:pPr>
        <w:spacing w:after="0" w:line="240" w:lineRule="auto"/>
        <w:contextualSpacing/>
        <w:jc w:val="both"/>
        <w:rPr>
          <w:rFonts w:ascii="Arial" w:hAnsi="Arial" w:cs="Arial"/>
        </w:rPr>
      </w:pPr>
      <w:r>
        <w:rPr>
          <w:rFonts w:ascii="Arial" w:hAnsi="Arial" w:cs="Arial"/>
        </w:rPr>
        <w:t xml:space="preserve">Al respecto, </w:t>
      </w:r>
      <w:r w:rsidR="00A7523C">
        <w:rPr>
          <w:rFonts w:ascii="Arial" w:hAnsi="Arial" w:cs="Arial"/>
        </w:rPr>
        <w:t>l</w:t>
      </w:r>
      <w:r w:rsidR="00A253DA" w:rsidRPr="00A253DA">
        <w:rPr>
          <w:rFonts w:ascii="Arial" w:hAnsi="Arial" w:cs="Arial"/>
        </w:rPr>
        <w:t xml:space="preserve">a Dirección de Planificacion Institucional </w:t>
      </w:r>
      <w:r w:rsidR="00612EAF">
        <w:rPr>
          <w:rFonts w:ascii="Arial" w:hAnsi="Arial" w:cs="Arial"/>
        </w:rPr>
        <w:t xml:space="preserve">no </w:t>
      </w:r>
      <w:r w:rsidR="00250E28">
        <w:rPr>
          <w:rFonts w:ascii="Arial" w:hAnsi="Arial" w:cs="Arial"/>
        </w:rPr>
        <w:t>elabora</w:t>
      </w:r>
      <w:r w:rsidR="00041033">
        <w:rPr>
          <w:rFonts w:ascii="Arial" w:hAnsi="Arial" w:cs="Arial"/>
        </w:rPr>
        <w:t>, documenta y presenta para aprobación del jerarca institucional</w:t>
      </w:r>
      <w:r w:rsidR="00250E28">
        <w:rPr>
          <w:rFonts w:ascii="Arial" w:hAnsi="Arial" w:cs="Arial"/>
        </w:rPr>
        <w:t xml:space="preserve"> el</w:t>
      </w:r>
      <w:r w:rsidR="00612EAF">
        <w:rPr>
          <w:rFonts w:ascii="Arial" w:hAnsi="Arial" w:cs="Arial"/>
        </w:rPr>
        <w:t xml:space="preserve"> plan </w:t>
      </w:r>
      <w:r w:rsidR="00A253DA" w:rsidRPr="00A253DA">
        <w:rPr>
          <w:rFonts w:ascii="Arial" w:hAnsi="Arial" w:cs="Arial"/>
        </w:rPr>
        <w:t xml:space="preserve">para llevar a cabo </w:t>
      </w:r>
      <w:bookmarkStart w:id="77" w:name="_Hlk124421318"/>
      <w:r w:rsidR="00A253DA" w:rsidRPr="00A253DA">
        <w:rPr>
          <w:rFonts w:ascii="Arial" w:hAnsi="Arial" w:cs="Arial"/>
        </w:rPr>
        <w:t xml:space="preserve">el </w:t>
      </w:r>
      <w:bookmarkStart w:id="78" w:name="_Hlk124421033"/>
      <w:r w:rsidR="00A253DA" w:rsidRPr="00A253DA">
        <w:rPr>
          <w:rFonts w:ascii="Arial" w:hAnsi="Arial" w:cs="Arial"/>
        </w:rPr>
        <w:t>Proceso de Gesti</w:t>
      </w:r>
      <w:r w:rsidR="00F935EC">
        <w:rPr>
          <w:rFonts w:ascii="Arial" w:hAnsi="Arial" w:cs="Arial"/>
        </w:rPr>
        <w:t>ó</w:t>
      </w:r>
      <w:r w:rsidR="00A253DA" w:rsidRPr="00A253DA">
        <w:rPr>
          <w:rFonts w:ascii="Arial" w:hAnsi="Arial" w:cs="Arial"/>
        </w:rPr>
        <w:t xml:space="preserve">n de la Valoración de Riesgos </w:t>
      </w:r>
      <w:bookmarkEnd w:id="77"/>
      <w:bookmarkEnd w:id="78"/>
      <w:r w:rsidR="00B331B3" w:rsidRPr="00A253DA">
        <w:rPr>
          <w:rFonts w:ascii="Arial" w:hAnsi="Arial" w:cs="Arial"/>
        </w:rPr>
        <w:t>institucional</w:t>
      </w:r>
      <w:r w:rsidR="00041033">
        <w:rPr>
          <w:rFonts w:ascii="Arial" w:hAnsi="Arial" w:cs="Arial"/>
        </w:rPr>
        <w:t xml:space="preserve">. </w:t>
      </w:r>
      <w:r w:rsidR="00F935EC">
        <w:rPr>
          <w:rFonts w:ascii="Arial" w:hAnsi="Arial" w:cs="Arial"/>
        </w:rPr>
        <w:t xml:space="preserve"> </w:t>
      </w:r>
    </w:p>
    <w:p w14:paraId="3D9BDD72" w14:textId="77777777" w:rsidR="00A253DA" w:rsidRDefault="00A253DA" w:rsidP="00812D60">
      <w:pPr>
        <w:spacing w:after="0" w:line="240" w:lineRule="auto"/>
        <w:contextualSpacing/>
        <w:jc w:val="both"/>
        <w:rPr>
          <w:rFonts w:ascii="Arial" w:hAnsi="Arial" w:cs="Arial"/>
        </w:rPr>
      </w:pPr>
    </w:p>
    <w:p w14:paraId="1F8B3D0D" w14:textId="6C4A57DF" w:rsidR="00E07CBD" w:rsidRDefault="00A253DA" w:rsidP="00812D60">
      <w:pPr>
        <w:spacing w:after="0" w:line="240" w:lineRule="auto"/>
        <w:contextualSpacing/>
        <w:jc w:val="both"/>
        <w:rPr>
          <w:rFonts w:ascii="Arial" w:hAnsi="Arial" w:cs="Arial"/>
        </w:rPr>
      </w:pPr>
      <w:r w:rsidRPr="00A253DA">
        <w:rPr>
          <w:rFonts w:ascii="Arial" w:hAnsi="Arial" w:cs="Arial"/>
        </w:rPr>
        <w:t xml:space="preserve">Esta condición obedece a que la </w:t>
      </w:r>
      <w:r>
        <w:rPr>
          <w:rFonts w:ascii="Arial" w:hAnsi="Arial" w:cs="Arial"/>
        </w:rPr>
        <w:t>Dirección de Planificación Institucional</w:t>
      </w:r>
      <w:r w:rsidRPr="00A253DA">
        <w:rPr>
          <w:rFonts w:ascii="Arial" w:hAnsi="Arial" w:cs="Arial"/>
        </w:rPr>
        <w:t xml:space="preserve"> no dispone de una metodología de supervisión para asegurar razonablemente el cumplimiento de lo</w:t>
      </w:r>
      <w:r>
        <w:rPr>
          <w:rFonts w:ascii="Arial" w:hAnsi="Arial" w:cs="Arial"/>
        </w:rPr>
        <w:t xml:space="preserve"> dispuesto en la Guía</w:t>
      </w:r>
      <w:r w:rsidR="00F935EC" w:rsidRPr="00746275">
        <w:rPr>
          <w:rStyle w:val="Refdenotaalpie"/>
          <w:rFonts w:ascii="Arial" w:hAnsi="Arial" w:cs="Arial"/>
        </w:rPr>
        <w:footnoteReference w:id="10"/>
      </w:r>
      <w:r>
        <w:rPr>
          <w:rFonts w:ascii="Arial" w:hAnsi="Arial" w:cs="Arial"/>
        </w:rPr>
        <w:t>.</w:t>
      </w:r>
      <w:r w:rsidR="00041033">
        <w:rPr>
          <w:rFonts w:ascii="Arial" w:hAnsi="Arial" w:cs="Arial"/>
        </w:rPr>
        <w:t xml:space="preserve"> </w:t>
      </w:r>
    </w:p>
    <w:p w14:paraId="3BB1DF02" w14:textId="77777777" w:rsidR="00E07CBD" w:rsidRDefault="00E07CBD" w:rsidP="00812D60">
      <w:pPr>
        <w:spacing w:after="0" w:line="240" w:lineRule="auto"/>
        <w:contextualSpacing/>
        <w:jc w:val="both"/>
        <w:rPr>
          <w:rFonts w:ascii="Arial" w:hAnsi="Arial" w:cs="Arial"/>
        </w:rPr>
      </w:pPr>
    </w:p>
    <w:p w14:paraId="31C52DEA" w14:textId="6E43B6AE" w:rsidR="000E72F4" w:rsidRDefault="000E72F4" w:rsidP="00DC7AD0">
      <w:pPr>
        <w:spacing w:after="0" w:line="240" w:lineRule="auto"/>
        <w:contextualSpacing/>
        <w:jc w:val="both"/>
        <w:rPr>
          <w:rFonts w:ascii="Arial" w:hAnsi="Arial" w:cs="Arial"/>
        </w:rPr>
      </w:pPr>
      <w:r>
        <w:rPr>
          <w:rFonts w:ascii="Arial" w:hAnsi="Arial" w:cs="Arial"/>
        </w:rPr>
        <w:t xml:space="preserve">Esta situación puede </w:t>
      </w:r>
      <w:r w:rsidRPr="000E72F4">
        <w:rPr>
          <w:rFonts w:ascii="Arial" w:hAnsi="Arial" w:cs="Arial"/>
        </w:rPr>
        <w:t xml:space="preserve">generar </w:t>
      </w:r>
      <w:r w:rsidR="00A65478">
        <w:rPr>
          <w:rFonts w:ascii="Arial" w:hAnsi="Arial" w:cs="Arial"/>
        </w:rPr>
        <w:t xml:space="preserve">un impacto en la </w:t>
      </w:r>
      <w:r w:rsidRPr="000E72F4">
        <w:rPr>
          <w:rFonts w:ascii="Arial" w:hAnsi="Arial" w:cs="Arial"/>
        </w:rPr>
        <w:t xml:space="preserve">eficiencia y eficacia </w:t>
      </w:r>
      <w:r w:rsidR="00A65478">
        <w:rPr>
          <w:rFonts w:ascii="Arial" w:hAnsi="Arial" w:cs="Arial"/>
        </w:rPr>
        <w:t>d</w:t>
      </w:r>
      <w:r>
        <w:rPr>
          <w:rFonts w:ascii="Arial" w:hAnsi="Arial" w:cs="Arial"/>
        </w:rPr>
        <w:t xml:space="preserve">el </w:t>
      </w:r>
      <w:r w:rsidRPr="00E02FEC">
        <w:rPr>
          <w:rFonts w:ascii="Arial" w:hAnsi="Arial" w:cs="Arial"/>
        </w:rPr>
        <w:t>Proceso de Gestión de la Valoración de Riesgos institucional</w:t>
      </w:r>
      <w:r>
        <w:rPr>
          <w:rFonts w:ascii="Arial" w:hAnsi="Arial" w:cs="Arial"/>
        </w:rPr>
        <w:t xml:space="preserve">, </w:t>
      </w:r>
      <w:r w:rsidR="00FB2718">
        <w:rPr>
          <w:rFonts w:ascii="Arial" w:hAnsi="Arial" w:cs="Arial"/>
        </w:rPr>
        <w:t>asimismo</w:t>
      </w:r>
      <w:r>
        <w:rPr>
          <w:rFonts w:ascii="Arial" w:hAnsi="Arial" w:cs="Arial"/>
        </w:rPr>
        <w:t>,</w:t>
      </w:r>
      <w:r w:rsidR="00FB2718">
        <w:rPr>
          <w:rFonts w:ascii="Arial" w:hAnsi="Arial" w:cs="Arial"/>
        </w:rPr>
        <w:t xml:space="preserve"> puede representar</w:t>
      </w:r>
      <w:r>
        <w:rPr>
          <w:rFonts w:ascii="Arial" w:hAnsi="Arial" w:cs="Arial"/>
        </w:rPr>
        <w:t xml:space="preserve"> una limitación para </w:t>
      </w:r>
      <w:r w:rsidRPr="000E72F4">
        <w:rPr>
          <w:rFonts w:ascii="Arial" w:hAnsi="Arial" w:cs="Arial"/>
        </w:rPr>
        <w:t>evaluar el avance de las actividades</w:t>
      </w:r>
      <w:r w:rsidR="00FB2718">
        <w:rPr>
          <w:rFonts w:ascii="Arial" w:hAnsi="Arial" w:cs="Arial"/>
        </w:rPr>
        <w:t xml:space="preserve">, </w:t>
      </w:r>
      <w:r>
        <w:rPr>
          <w:rFonts w:ascii="Arial" w:hAnsi="Arial" w:cs="Arial"/>
        </w:rPr>
        <w:t xml:space="preserve">la </w:t>
      </w:r>
      <w:r w:rsidRPr="000E72F4">
        <w:rPr>
          <w:rFonts w:ascii="Arial" w:hAnsi="Arial" w:cs="Arial"/>
        </w:rPr>
        <w:t>toma</w:t>
      </w:r>
      <w:r>
        <w:rPr>
          <w:rFonts w:ascii="Arial" w:hAnsi="Arial" w:cs="Arial"/>
        </w:rPr>
        <w:t xml:space="preserve"> de</w:t>
      </w:r>
      <w:r w:rsidRPr="000E72F4">
        <w:rPr>
          <w:rFonts w:ascii="Arial" w:hAnsi="Arial" w:cs="Arial"/>
        </w:rPr>
        <w:t xml:space="preserve"> decisiones estratégicas</w:t>
      </w:r>
      <w:r w:rsidR="00FB2718">
        <w:rPr>
          <w:rFonts w:ascii="Arial" w:hAnsi="Arial" w:cs="Arial"/>
        </w:rPr>
        <w:t>,</w:t>
      </w:r>
      <w:r w:rsidRPr="000E72F4">
        <w:rPr>
          <w:rFonts w:ascii="Arial" w:hAnsi="Arial" w:cs="Arial"/>
        </w:rPr>
        <w:t xml:space="preserve"> la asignación de tareas y responsabilidades</w:t>
      </w:r>
      <w:r w:rsidR="00A65478">
        <w:rPr>
          <w:rFonts w:ascii="Arial" w:hAnsi="Arial" w:cs="Arial"/>
        </w:rPr>
        <w:t xml:space="preserve">, afectando así, </w:t>
      </w:r>
      <w:r w:rsidR="00A65478" w:rsidRPr="00244A71">
        <w:rPr>
          <w:rFonts w:ascii="Arial" w:hAnsi="Arial" w:cs="Arial"/>
        </w:rPr>
        <w:t>la rendición de cuentas y la transparencia.</w:t>
      </w:r>
    </w:p>
    <w:p w14:paraId="747F29D8" w14:textId="77777777" w:rsidR="00087CE5" w:rsidRDefault="00087CE5" w:rsidP="00DC7AD0">
      <w:pPr>
        <w:spacing w:after="0" w:line="240" w:lineRule="auto"/>
        <w:contextualSpacing/>
        <w:jc w:val="both"/>
        <w:rPr>
          <w:rFonts w:ascii="Arial" w:hAnsi="Arial" w:cs="Arial"/>
        </w:rPr>
      </w:pPr>
    </w:p>
    <w:p w14:paraId="4D753A61" w14:textId="0263A69C" w:rsidR="00C87AE9" w:rsidRDefault="00C87AE9" w:rsidP="00C87AE9">
      <w:pPr>
        <w:pStyle w:val="Ttulo1"/>
        <w:keepNext w:val="0"/>
        <w:keepLines w:val="0"/>
        <w:spacing w:before="0" w:after="0"/>
        <w:ind w:left="567" w:right="51" w:hanging="567"/>
        <w:contextualSpacing/>
        <w:jc w:val="both"/>
        <w:rPr>
          <w:rFonts w:ascii="Arial" w:hAnsi="Arial" w:cs="Arial"/>
          <w:b/>
          <w:color w:val="44546A" w:themeColor="text2"/>
          <w:sz w:val="22"/>
          <w:szCs w:val="22"/>
          <w:lang w:val="es-ES_tradnl" w:eastAsia="es-ES"/>
        </w:rPr>
      </w:pPr>
      <w:bookmarkStart w:id="79" w:name="_Toc125702641"/>
      <w:r w:rsidRPr="00412E8C">
        <w:rPr>
          <w:rFonts w:ascii="Arial" w:hAnsi="Arial" w:cs="Arial"/>
          <w:b/>
          <w:color w:val="44546A" w:themeColor="text2"/>
          <w:sz w:val="22"/>
          <w:szCs w:val="22"/>
          <w:lang w:val="es-ES_tradnl" w:eastAsia="es-ES"/>
        </w:rPr>
        <w:t>2.</w:t>
      </w:r>
      <w:r>
        <w:rPr>
          <w:rFonts w:ascii="Arial" w:hAnsi="Arial" w:cs="Arial"/>
          <w:b/>
          <w:color w:val="44546A" w:themeColor="text2"/>
          <w:sz w:val="22"/>
          <w:szCs w:val="22"/>
          <w:lang w:val="es-ES_tradnl" w:eastAsia="es-ES"/>
        </w:rPr>
        <w:t>2.2</w:t>
      </w:r>
      <w:r w:rsidRPr="00412E8C">
        <w:rPr>
          <w:rFonts w:ascii="Arial" w:hAnsi="Arial" w:cs="Arial"/>
          <w:b/>
          <w:color w:val="44546A" w:themeColor="text2"/>
          <w:sz w:val="22"/>
          <w:szCs w:val="22"/>
          <w:lang w:val="es-ES_tradnl" w:eastAsia="es-ES"/>
        </w:rPr>
        <w:t xml:space="preserve"> </w:t>
      </w:r>
      <w:bookmarkStart w:id="80" w:name="_Hlk124860134"/>
      <w:r w:rsidRPr="00412E8C">
        <w:rPr>
          <w:rFonts w:ascii="Arial" w:hAnsi="Arial" w:cs="Arial"/>
          <w:b/>
          <w:color w:val="44546A" w:themeColor="text2"/>
          <w:sz w:val="22"/>
          <w:szCs w:val="22"/>
          <w:lang w:val="es-ES_tradnl" w:eastAsia="es-ES"/>
        </w:rPr>
        <w:t xml:space="preserve">Sobre </w:t>
      </w:r>
      <w:r w:rsidR="008006FD">
        <w:rPr>
          <w:rFonts w:ascii="Arial" w:hAnsi="Arial" w:cs="Arial"/>
          <w:b/>
          <w:color w:val="44546A" w:themeColor="text2"/>
          <w:sz w:val="22"/>
          <w:szCs w:val="22"/>
          <w:lang w:val="es-ES_tradnl" w:eastAsia="es-ES"/>
        </w:rPr>
        <w:t xml:space="preserve">la necesidad de </w:t>
      </w:r>
      <w:r>
        <w:rPr>
          <w:rFonts w:ascii="Arial" w:hAnsi="Arial" w:cs="Arial"/>
          <w:b/>
          <w:color w:val="44546A" w:themeColor="text2"/>
          <w:sz w:val="22"/>
          <w:szCs w:val="22"/>
          <w:lang w:val="es-ES_tradnl" w:eastAsia="es-ES"/>
        </w:rPr>
        <w:t xml:space="preserve">documentar la revisión de la </w:t>
      </w:r>
      <w:r w:rsidRPr="00C87AE9">
        <w:rPr>
          <w:rFonts w:ascii="Arial" w:hAnsi="Arial" w:cs="Arial"/>
          <w:b/>
          <w:color w:val="44546A" w:themeColor="text2"/>
          <w:sz w:val="22"/>
          <w:szCs w:val="22"/>
          <w:lang w:val="es-ES_tradnl" w:eastAsia="es-ES"/>
        </w:rPr>
        <w:t>Guía Metodológica para la Valoración de Riesgo Institucional</w:t>
      </w:r>
      <w:bookmarkEnd w:id="80"/>
      <w:bookmarkEnd w:id="79"/>
    </w:p>
    <w:p w14:paraId="254D7F45" w14:textId="77777777" w:rsidR="00C87AE9" w:rsidRDefault="00C87AE9" w:rsidP="00C87AE9">
      <w:pPr>
        <w:spacing w:after="0" w:line="240" w:lineRule="auto"/>
        <w:contextualSpacing/>
        <w:jc w:val="both"/>
        <w:rPr>
          <w:rFonts w:ascii="Arial" w:hAnsi="Arial" w:cs="Arial"/>
        </w:rPr>
      </w:pPr>
    </w:p>
    <w:p w14:paraId="2918405A" w14:textId="77777777" w:rsidR="00446D19" w:rsidRDefault="00446D19" w:rsidP="00446D19">
      <w:pPr>
        <w:spacing w:after="0" w:line="240" w:lineRule="auto"/>
        <w:contextualSpacing/>
        <w:jc w:val="both"/>
        <w:rPr>
          <w:rFonts w:ascii="Arial" w:hAnsi="Arial" w:cs="Arial"/>
        </w:rPr>
      </w:pPr>
      <w:r w:rsidRPr="00841967">
        <w:rPr>
          <w:rFonts w:ascii="Arial" w:hAnsi="Arial" w:cs="Arial"/>
        </w:rPr>
        <w:t xml:space="preserve">La </w:t>
      </w:r>
      <w:r w:rsidRPr="00641B4B">
        <w:rPr>
          <w:rFonts w:ascii="Arial" w:hAnsi="Arial" w:cs="Arial"/>
        </w:rPr>
        <w:t>Guía Metodológica Valoración de Riesgo Institucional MH-DIPI-PRO01-GUI-001</w:t>
      </w:r>
      <w:r w:rsidRPr="00841967">
        <w:rPr>
          <w:rFonts w:ascii="Arial" w:hAnsi="Arial" w:cs="Arial"/>
        </w:rPr>
        <w:t xml:space="preserve">, señala, </w:t>
      </w:r>
      <w:r>
        <w:rPr>
          <w:rFonts w:ascii="Arial" w:hAnsi="Arial" w:cs="Arial"/>
        </w:rPr>
        <w:t>en el punto 6</w:t>
      </w:r>
      <w:r w:rsidRPr="00641B4B">
        <w:rPr>
          <w:rFonts w:ascii="Arial" w:hAnsi="Arial" w:cs="Arial"/>
        </w:rPr>
        <w:t xml:space="preserve"> </w:t>
      </w:r>
      <w:r>
        <w:rPr>
          <w:rFonts w:ascii="Arial" w:hAnsi="Arial" w:cs="Arial"/>
        </w:rPr>
        <w:t xml:space="preserve">sobre </w:t>
      </w:r>
      <w:r w:rsidRPr="00894163">
        <w:rPr>
          <w:rFonts w:ascii="Arial" w:hAnsi="Arial" w:cs="Arial"/>
        </w:rPr>
        <w:t>Revisiones</w:t>
      </w:r>
      <w:r w:rsidRPr="00446D19">
        <w:rPr>
          <w:rFonts w:ascii="Arial" w:hAnsi="Arial" w:cs="Arial"/>
        </w:rPr>
        <w:t xml:space="preserve"> y actualizaciones</w:t>
      </w:r>
      <w:r>
        <w:rPr>
          <w:rFonts w:ascii="Arial" w:hAnsi="Arial" w:cs="Arial"/>
        </w:rPr>
        <w:t>, lo siguiente</w:t>
      </w:r>
      <w:r w:rsidRPr="00841967">
        <w:rPr>
          <w:rFonts w:ascii="Arial" w:hAnsi="Arial" w:cs="Arial"/>
        </w:rPr>
        <w:t>:</w:t>
      </w:r>
    </w:p>
    <w:p w14:paraId="22697EB6" w14:textId="77777777" w:rsidR="00C87AE9" w:rsidRPr="0053763F" w:rsidRDefault="00C87AE9" w:rsidP="00C87AE9">
      <w:pPr>
        <w:spacing w:after="0" w:line="240" w:lineRule="auto"/>
        <w:contextualSpacing/>
        <w:jc w:val="both"/>
        <w:rPr>
          <w:rFonts w:ascii="Arial" w:hAnsi="Arial" w:cs="Arial"/>
        </w:rPr>
      </w:pPr>
    </w:p>
    <w:p w14:paraId="442EC091" w14:textId="77777777" w:rsidR="00C87AE9" w:rsidRPr="0053763F" w:rsidRDefault="00C87AE9" w:rsidP="00C87AE9">
      <w:pPr>
        <w:spacing w:after="0" w:line="240" w:lineRule="auto"/>
        <w:ind w:left="708" w:right="709"/>
        <w:contextualSpacing/>
        <w:jc w:val="both"/>
        <w:rPr>
          <w:rFonts w:ascii="Arial" w:hAnsi="Arial" w:cs="Arial"/>
          <w:i/>
        </w:rPr>
      </w:pPr>
      <w:r w:rsidRPr="0053763F">
        <w:rPr>
          <w:rFonts w:ascii="Arial" w:hAnsi="Arial" w:cs="Arial"/>
          <w:i/>
        </w:rPr>
        <w:t>“</w:t>
      </w:r>
      <w:r w:rsidR="00446D19" w:rsidRPr="00446D19">
        <w:rPr>
          <w:rFonts w:ascii="Arial" w:hAnsi="Arial" w:cs="Arial"/>
          <w:i/>
        </w:rPr>
        <w:t xml:space="preserve">La Guía debe </w:t>
      </w:r>
      <w:r w:rsidR="00446D19" w:rsidRPr="00955E91">
        <w:rPr>
          <w:rFonts w:ascii="Arial" w:hAnsi="Arial" w:cs="Arial"/>
          <w:i/>
        </w:rPr>
        <w:t>revisarse al menos una vez al año. Las actualizaciones</w:t>
      </w:r>
      <w:r w:rsidR="00446D19" w:rsidRPr="00446D19">
        <w:rPr>
          <w:rFonts w:ascii="Arial" w:hAnsi="Arial" w:cs="Arial"/>
          <w:i/>
        </w:rPr>
        <w:t xml:space="preserve"> dependerán de la estrategia del Ministerio de Hacienda</w:t>
      </w:r>
      <w:r w:rsidRPr="0053763F">
        <w:rPr>
          <w:rFonts w:ascii="Arial" w:hAnsi="Arial" w:cs="Arial"/>
          <w:i/>
        </w:rPr>
        <w:t>.”</w:t>
      </w:r>
    </w:p>
    <w:p w14:paraId="509E5A35" w14:textId="77777777" w:rsidR="00C87AE9" w:rsidRDefault="00C87AE9" w:rsidP="00C87AE9">
      <w:pPr>
        <w:spacing w:after="0" w:line="240" w:lineRule="auto"/>
        <w:ind w:left="708" w:right="709"/>
        <w:contextualSpacing/>
        <w:jc w:val="both"/>
        <w:rPr>
          <w:rFonts w:ascii="Arial" w:hAnsi="Arial" w:cs="Arial"/>
          <w:i/>
        </w:rPr>
      </w:pPr>
    </w:p>
    <w:p w14:paraId="65F793CB" w14:textId="77777777" w:rsidR="00C87AE9" w:rsidRDefault="00C87AE9" w:rsidP="00C87AE9">
      <w:pPr>
        <w:spacing w:after="0" w:line="240" w:lineRule="auto"/>
        <w:contextualSpacing/>
        <w:jc w:val="both"/>
        <w:rPr>
          <w:rFonts w:ascii="Arial" w:hAnsi="Arial" w:cs="Arial"/>
        </w:rPr>
      </w:pPr>
      <w:r>
        <w:rPr>
          <w:rFonts w:ascii="Arial" w:hAnsi="Arial" w:cs="Arial"/>
        </w:rPr>
        <w:t xml:space="preserve">Al respecto, </w:t>
      </w:r>
      <w:r w:rsidR="00BF4B4A">
        <w:rPr>
          <w:rFonts w:ascii="Arial" w:hAnsi="Arial" w:cs="Arial"/>
        </w:rPr>
        <w:t xml:space="preserve">no se evidencia que </w:t>
      </w:r>
      <w:r>
        <w:rPr>
          <w:rFonts w:ascii="Arial" w:hAnsi="Arial" w:cs="Arial"/>
        </w:rPr>
        <w:t>l</w:t>
      </w:r>
      <w:r w:rsidRPr="00A253DA">
        <w:rPr>
          <w:rFonts w:ascii="Arial" w:hAnsi="Arial" w:cs="Arial"/>
        </w:rPr>
        <w:t xml:space="preserve">a Dirección de Planificacion Institucional </w:t>
      </w:r>
      <w:r w:rsidR="00BF4B4A">
        <w:rPr>
          <w:rFonts w:ascii="Arial" w:hAnsi="Arial" w:cs="Arial"/>
        </w:rPr>
        <w:t xml:space="preserve">realice la </w:t>
      </w:r>
      <w:r w:rsidRPr="00C87AE9">
        <w:rPr>
          <w:rFonts w:ascii="Arial" w:hAnsi="Arial" w:cs="Arial"/>
        </w:rPr>
        <w:t>revisión de la Guía Metodológica para la Valoración de Riesgo Institucional</w:t>
      </w:r>
      <w:r w:rsidR="00432A9D">
        <w:rPr>
          <w:rFonts w:ascii="Arial" w:hAnsi="Arial" w:cs="Arial"/>
        </w:rPr>
        <w:t>.</w:t>
      </w:r>
    </w:p>
    <w:p w14:paraId="65EDCC34" w14:textId="77777777" w:rsidR="006C1B0B" w:rsidRDefault="006C1B0B" w:rsidP="00C87AE9">
      <w:pPr>
        <w:spacing w:after="0" w:line="240" w:lineRule="auto"/>
        <w:contextualSpacing/>
        <w:jc w:val="both"/>
        <w:rPr>
          <w:rFonts w:ascii="Arial" w:hAnsi="Arial" w:cs="Arial"/>
        </w:rPr>
      </w:pPr>
    </w:p>
    <w:p w14:paraId="6EBFD196" w14:textId="77777777" w:rsidR="00384394" w:rsidRDefault="00432A9D" w:rsidP="00C87AE9">
      <w:pPr>
        <w:spacing w:after="0" w:line="240" w:lineRule="auto"/>
        <w:contextualSpacing/>
        <w:jc w:val="both"/>
        <w:rPr>
          <w:rFonts w:ascii="Arial" w:hAnsi="Arial" w:cs="Arial"/>
        </w:rPr>
      </w:pPr>
      <w:r>
        <w:rPr>
          <w:rFonts w:ascii="Arial" w:hAnsi="Arial" w:cs="Arial"/>
        </w:rPr>
        <w:t>Sobre el particular</w:t>
      </w:r>
      <w:r w:rsidR="00384394">
        <w:rPr>
          <w:rFonts w:ascii="Arial" w:hAnsi="Arial" w:cs="Arial"/>
        </w:rPr>
        <w:t xml:space="preserve">, </w:t>
      </w:r>
      <w:r w:rsidR="00384394" w:rsidRPr="00F362D2">
        <w:rPr>
          <w:rFonts w:ascii="Arial" w:hAnsi="Arial" w:cs="Arial"/>
        </w:rPr>
        <w:t xml:space="preserve">se consultó al funcionario enlace </w:t>
      </w:r>
      <w:r w:rsidR="00384394">
        <w:rPr>
          <w:rFonts w:ascii="Arial" w:hAnsi="Arial" w:cs="Arial"/>
        </w:rPr>
        <w:t>de</w:t>
      </w:r>
      <w:r w:rsidR="00384394" w:rsidRPr="00F362D2">
        <w:rPr>
          <w:rFonts w:ascii="Arial" w:hAnsi="Arial" w:cs="Arial"/>
        </w:rPr>
        <w:t xml:space="preserve"> la Dirección de Planificación Institucional</w:t>
      </w:r>
      <w:r w:rsidR="00384394">
        <w:rPr>
          <w:rFonts w:ascii="Arial" w:hAnsi="Arial" w:cs="Arial"/>
        </w:rPr>
        <w:t>,</w:t>
      </w:r>
      <w:r w:rsidR="00384394" w:rsidRPr="00F362D2">
        <w:rPr>
          <w:rFonts w:ascii="Arial" w:hAnsi="Arial" w:cs="Arial"/>
        </w:rPr>
        <w:t xml:space="preserve"> </w:t>
      </w:r>
      <w:r w:rsidR="00384394">
        <w:rPr>
          <w:rFonts w:ascii="Arial" w:hAnsi="Arial" w:cs="Arial"/>
        </w:rPr>
        <w:t xml:space="preserve">el cual indicó que esta </w:t>
      </w:r>
      <w:r w:rsidR="001B2819">
        <w:rPr>
          <w:rFonts w:ascii="Arial" w:hAnsi="Arial" w:cs="Arial"/>
        </w:rPr>
        <w:t>actividad se</w:t>
      </w:r>
      <w:r w:rsidR="00384394">
        <w:rPr>
          <w:rFonts w:ascii="Arial" w:hAnsi="Arial" w:cs="Arial"/>
        </w:rPr>
        <w:t xml:space="preserve"> realiza por medio de reuniones; no obstante, </w:t>
      </w:r>
      <w:r w:rsidR="00384394" w:rsidRPr="00F362D2">
        <w:rPr>
          <w:rFonts w:ascii="Arial" w:hAnsi="Arial" w:cs="Arial"/>
        </w:rPr>
        <w:t xml:space="preserve">no han establecido </w:t>
      </w:r>
      <w:r w:rsidR="00BF4B4A">
        <w:rPr>
          <w:rFonts w:ascii="Arial" w:hAnsi="Arial" w:cs="Arial"/>
        </w:rPr>
        <w:t>como una sana práctica administrativa</w:t>
      </w:r>
      <w:r w:rsidR="00BF4B4A" w:rsidRPr="00F362D2">
        <w:rPr>
          <w:rFonts w:ascii="Arial" w:hAnsi="Arial" w:cs="Arial"/>
        </w:rPr>
        <w:t xml:space="preserve"> </w:t>
      </w:r>
      <w:r w:rsidR="00384394">
        <w:rPr>
          <w:rFonts w:ascii="Arial" w:hAnsi="Arial" w:cs="Arial"/>
        </w:rPr>
        <w:t xml:space="preserve">documentar lo correspondiente. </w:t>
      </w:r>
    </w:p>
    <w:p w14:paraId="4FD85A82" w14:textId="77777777" w:rsidR="001B2819" w:rsidRDefault="001B2819" w:rsidP="00C87AE9">
      <w:pPr>
        <w:spacing w:after="0" w:line="240" w:lineRule="auto"/>
        <w:contextualSpacing/>
        <w:jc w:val="both"/>
        <w:rPr>
          <w:rFonts w:ascii="Arial" w:hAnsi="Arial" w:cs="Arial"/>
        </w:rPr>
      </w:pPr>
    </w:p>
    <w:p w14:paraId="3A15002C" w14:textId="77777777" w:rsidR="00384394" w:rsidRDefault="00384394" w:rsidP="001B2819">
      <w:pPr>
        <w:spacing w:after="0" w:line="240" w:lineRule="auto"/>
        <w:contextualSpacing/>
        <w:jc w:val="both"/>
        <w:rPr>
          <w:rFonts w:ascii="Arial" w:hAnsi="Arial" w:cs="Arial"/>
        </w:rPr>
      </w:pPr>
      <w:r w:rsidRPr="00384394">
        <w:rPr>
          <w:rFonts w:ascii="Arial" w:hAnsi="Arial" w:cs="Arial"/>
        </w:rPr>
        <w:t xml:space="preserve">Lo antes comentado, representa una limitación para </w:t>
      </w:r>
      <w:r w:rsidR="001B2819">
        <w:rPr>
          <w:rFonts w:ascii="Arial" w:hAnsi="Arial" w:cs="Arial"/>
        </w:rPr>
        <w:t xml:space="preserve">determinar </w:t>
      </w:r>
      <w:r w:rsidR="001B2819" w:rsidRPr="00384394">
        <w:rPr>
          <w:rFonts w:ascii="Arial" w:hAnsi="Arial" w:cs="Arial"/>
        </w:rPr>
        <w:t>las</w:t>
      </w:r>
      <w:r w:rsidR="001B2819" w:rsidRPr="001B2819">
        <w:rPr>
          <w:rFonts w:ascii="Arial" w:hAnsi="Arial" w:cs="Arial"/>
        </w:rPr>
        <w:t xml:space="preserve"> acciones realizadas y verificar su eficacia en la mejora continua del proceso</w:t>
      </w:r>
      <w:r w:rsidR="001B2819">
        <w:rPr>
          <w:rFonts w:ascii="Arial" w:hAnsi="Arial" w:cs="Arial"/>
        </w:rPr>
        <w:t>, asimismo, no fortalece el tema de</w:t>
      </w:r>
      <w:r w:rsidRPr="00384394">
        <w:rPr>
          <w:rFonts w:ascii="Arial" w:hAnsi="Arial" w:cs="Arial"/>
        </w:rPr>
        <w:t xml:space="preserve"> rendición de cuentas.</w:t>
      </w:r>
      <w:r w:rsidR="001B2819">
        <w:rPr>
          <w:rFonts w:ascii="Arial" w:hAnsi="Arial" w:cs="Arial"/>
        </w:rPr>
        <w:t xml:space="preserve"> </w:t>
      </w:r>
    </w:p>
    <w:p w14:paraId="52B474BF" w14:textId="77777777" w:rsidR="00087CE5" w:rsidRDefault="00087CE5" w:rsidP="00DC7AD0">
      <w:pPr>
        <w:spacing w:after="0" w:line="240" w:lineRule="auto"/>
        <w:contextualSpacing/>
        <w:jc w:val="both"/>
        <w:rPr>
          <w:rFonts w:ascii="Arial" w:hAnsi="Arial" w:cs="Arial"/>
        </w:rPr>
      </w:pPr>
    </w:p>
    <w:p w14:paraId="55B1D447" w14:textId="77777777" w:rsidR="00A136E4" w:rsidRDefault="00A136E4" w:rsidP="00E03114">
      <w:pPr>
        <w:pStyle w:val="Ttulo1"/>
        <w:keepNext w:val="0"/>
        <w:keepLines w:val="0"/>
        <w:numPr>
          <w:ilvl w:val="0"/>
          <w:numId w:val="20"/>
        </w:numPr>
        <w:spacing w:before="0" w:after="0"/>
        <w:contextualSpacing/>
        <w:rPr>
          <w:rFonts w:ascii="Arial" w:hAnsi="Arial" w:cs="Arial"/>
          <w:b/>
          <w:bCs/>
          <w:color w:val="44546A" w:themeColor="text2"/>
          <w:kern w:val="28"/>
          <w:sz w:val="28"/>
          <w:szCs w:val="28"/>
          <w:lang w:eastAsia="es-ES"/>
        </w:rPr>
      </w:pPr>
      <w:bookmarkStart w:id="81" w:name="_Toc90467933"/>
      <w:bookmarkStart w:id="82" w:name="_Toc125702642"/>
      <w:bookmarkEnd w:id="61"/>
      <w:bookmarkEnd w:id="62"/>
      <w:r w:rsidRPr="009D775C">
        <w:rPr>
          <w:rFonts w:ascii="Arial" w:hAnsi="Arial" w:cs="Arial"/>
          <w:b/>
          <w:bCs/>
          <w:color w:val="44546A" w:themeColor="text2"/>
          <w:kern w:val="28"/>
          <w:sz w:val="28"/>
          <w:szCs w:val="28"/>
          <w:lang w:eastAsia="es-ES"/>
        </w:rPr>
        <w:t>CONCLUSIÓN</w:t>
      </w:r>
      <w:bookmarkEnd w:id="81"/>
      <w:bookmarkEnd w:id="82"/>
    </w:p>
    <w:p w14:paraId="222984A2" w14:textId="77777777" w:rsidR="006E2FCF" w:rsidRDefault="006E2FCF" w:rsidP="00E02FEC">
      <w:pPr>
        <w:spacing w:after="0" w:line="240" w:lineRule="auto"/>
        <w:contextualSpacing/>
        <w:jc w:val="both"/>
        <w:rPr>
          <w:rFonts w:ascii="Arial" w:hAnsi="Arial" w:cs="Arial"/>
        </w:rPr>
      </w:pPr>
    </w:p>
    <w:p w14:paraId="2DD1F05A" w14:textId="3EEAE2D9" w:rsidR="00E02FEC" w:rsidRDefault="00E02FEC" w:rsidP="00E02FEC">
      <w:pPr>
        <w:spacing w:after="0" w:line="240" w:lineRule="auto"/>
        <w:contextualSpacing/>
        <w:jc w:val="both"/>
        <w:rPr>
          <w:rFonts w:ascii="Arial" w:hAnsi="Arial" w:cs="Arial"/>
        </w:rPr>
      </w:pPr>
      <w:r w:rsidRPr="00E02FEC">
        <w:rPr>
          <w:rFonts w:ascii="Arial" w:hAnsi="Arial" w:cs="Arial"/>
        </w:rPr>
        <w:t xml:space="preserve">La Dirección de Planificación Institucional no ha establecido las actividades de control necesarias </w:t>
      </w:r>
      <w:r w:rsidR="0064215A" w:rsidRPr="0064215A">
        <w:rPr>
          <w:rFonts w:ascii="Arial" w:hAnsi="Arial" w:cs="Arial"/>
        </w:rPr>
        <w:t>para revisar y actualizar la metodología de SEVRI</w:t>
      </w:r>
      <w:r w:rsidR="0064215A">
        <w:rPr>
          <w:rFonts w:ascii="Arial" w:hAnsi="Arial" w:cs="Arial"/>
        </w:rPr>
        <w:t xml:space="preserve">, </w:t>
      </w:r>
      <w:r w:rsidR="00DB517A">
        <w:rPr>
          <w:rFonts w:ascii="Arial" w:hAnsi="Arial" w:cs="Arial"/>
        </w:rPr>
        <w:t>pues</w:t>
      </w:r>
      <w:r w:rsidRPr="00E02FEC">
        <w:rPr>
          <w:rFonts w:ascii="Arial" w:hAnsi="Arial" w:cs="Arial"/>
        </w:rPr>
        <w:t xml:space="preserve"> </w:t>
      </w:r>
      <w:bookmarkStart w:id="83" w:name="_Hlk90459376"/>
      <w:r w:rsidR="00270EF7">
        <w:rPr>
          <w:rFonts w:ascii="Arial" w:hAnsi="Arial" w:cs="Arial"/>
        </w:rPr>
        <w:t xml:space="preserve">la </w:t>
      </w:r>
      <w:r w:rsidR="0064215A">
        <w:rPr>
          <w:rFonts w:ascii="Arial" w:hAnsi="Arial" w:cs="Arial"/>
        </w:rPr>
        <w:t>Directriz N°002-2015</w:t>
      </w:r>
      <w:r w:rsidR="0064215A" w:rsidRPr="00746275">
        <w:rPr>
          <w:rStyle w:val="Refdenotaalpie"/>
          <w:rFonts w:ascii="Arial" w:hAnsi="Arial" w:cs="Arial"/>
        </w:rPr>
        <w:footnoteReference w:id="11"/>
      </w:r>
      <w:r w:rsidR="0064215A">
        <w:rPr>
          <w:rFonts w:ascii="Arial" w:hAnsi="Arial" w:cs="Arial"/>
        </w:rPr>
        <w:t xml:space="preserve"> </w:t>
      </w:r>
      <w:r w:rsidR="0064215A" w:rsidRPr="00087CE5">
        <w:rPr>
          <w:rFonts w:ascii="Arial" w:hAnsi="Arial" w:cs="Arial"/>
        </w:rPr>
        <w:t>del 24 de agosto de 2015</w:t>
      </w:r>
      <w:r w:rsidR="0064215A">
        <w:rPr>
          <w:rFonts w:ascii="Arial" w:hAnsi="Arial" w:cs="Arial"/>
        </w:rPr>
        <w:t xml:space="preserve">, </w:t>
      </w:r>
      <w:r w:rsidR="0057009A" w:rsidRPr="0057009A">
        <w:rPr>
          <w:rFonts w:ascii="Arial" w:hAnsi="Arial" w:cs="Arial"/>
        </w:rPr>
        <w:t>que rige actualmente el tema del Sistema Específico de Valoración del Riesgo Institucional en el Ministerio de Hacienda se encuentra desactualizada</w:t>
      </w:r>
      <w:r w:rsidR="0064215A">
        <w:rPr>
          <w:rFonts w:ascii="Arial" w:hAnsi="Arial" w:cs="Arial"/>
        </w:rPr>
        <w:t xml:space="preserve">, asimismo, se determinó la necesidad </w:t>
      </w:r>
      <w:r w:rsidR="00D04D71">
        <w:rPr>
          <w:rFonts w:ascii="Arial" w:hAnsi="Arial" w:cs="Arial"/>
        </w:rPr>
        <w:t xml:space="preserve">de </w:t>
      </w:r>
      <w:r w:rsidR="0051100A">
        <w:rPr>
          <w:rFonts w:ascii="Arial" w:hAnsi="Arial" w:cs="Arial"/>
        </w:rPr>
        <w:t xml:space="preserve">unificar </w:t>
      </w:r>
      <w:r w:rsidR="00D04D71" w:rsidRPr="00D04D71">
        <w:rPr>
          <w:rFonts w:ascii="Arial" w:hAnsi="Arial" w:cs="Arial"/>
        </w:rPr>
        <w:t>los documentos que conforman el Marco orientador del SEVRI en el Ministerio de Hacienda</w:t>
      </w:r>
      <w:r w:rsidR="00D04D71">
        <w:rPr>
          <w:rFonts w:ascii="Arial" w:hAnsi="Arial" w:cs="Arial"/>
        </w:rPr>
        <w:t xml:space="preserve">; como también, el hecho de </w:t>
      </w:r>
      <w:r w:rsidR="00D04D71" w:rsidRPr="00D04D71">
        <w:rPr>
          <w:rFonts w:ascii="Arial" w:hAnsi="Arial" w:cs="Arial"/>
        </w:rPr>
        <w:t>defini</w:t>
      </w:r>
      <w:r w:rsidR="00D04D71">
        <w:rPr>
          <w:rFonts w:ascii="Arial" w:hAnsi="Arial" w:cs="Arial"/>
        </w:rPr>
        <w:t>r</w:t>
      </w:r>
      <w:r w:rsidR="00D04D71" w:rsidRPr="00D04D71">
        <w:rPr>
          <w:rFonts w:ascii="Arial" w:hAnsi="Arial" w:cs="Arial"/>
        </w:rPr>
        <w:t xml:space="preserve"> claramente la estructura organizacional que apoye la operación</w:t>
      </w:r>
      <w:r w:rsidR="00D04D71">
        <w:rPr>
          <w:rFonts w:ascii="Arial" w:hAnsi="Arial" w:cs="Arial"/>
        </w:rPr>
        <w:t xml:space="preserve"> de este proceso de conformidad con la normativa vigente</w:t>
      </w:r>
      <w:r w:rsidR="00D04D71" w:rsidRPr="00746275">
        <w:rPr>
          <w:rStyle w:val="Refdenotaalpie"/>
          <w:rFonts w:ascii="Arial" w:hAnsi="Arial" w:cs="Arial"/>
        </w:rPr>
        <w:footnoteReference w:id="12"/>
      </w:r>
      <w:r w:rsidR="00D04D71">
        <w:rPr>
          <w:rFonts w:ascii="Arial" w:hAnsi="Arial" w:cs="Arial"/>
        </w:rPr>
        <w:t>.</w:t>
      </w:r>
    </w:p>
    <w:p w14:paraId="69FE7AB2" w14:textId="77777777" w:rsidR="00D04D71" w:rsidRDefault="00D04D71" w:rsidP="00E02FEC">
      <w:pPr>
        <w:spacing w:after="0" w:line="240" w:lineRule="auto"/>
        <w:contextualSpacing/>
        <w:jc w:val="both"/>
        <w:rPr>
          <w:rFonts w:ascii="Arial" w:hAnsi="Arial" w:cs="Arial"/>
        </w:rPr>
      </w:pPr>
    </w:p>
    <w:p w14:paraId="62B5DBE0" w14:textId="57C7F83A" w:rsidR="00E02FEC" w:rsidRDefault="00F3789C" w:rsidP="00E02FEC">
      <w:pPr>
        <w:spacing w:after="0" w:line="240" w:lineRule="auto"/>
        <w:contextualSpacing/>
        <w:jc w:val="both"/>
        <w:rPr>
          <w:rFonts w:ascii="Arial" w:hAnsi="Arial" w:cs="Arial"/>
        </w:rPr>
      </w:pPr>
      <w:r>
        <w:rPr>
          <w:rFonts w:ascii="Arial" w:hAnsi="Arial" w:cs="Arial"/>
        </w:rPr>
        <w:t>Adicionalmente</w:t>
      </w:r>
      <w:r w:rsidR="00E02FEC">
        <w:rPr>
          <w:rFonts w:ascii="Arial" w:hAnsi="Arial" w:cs="Arial"/>
        </w:rPr>
        <w:t xml:space="preserve">, </w:t>
      </w:r>
      <w:r w:rsidR="001766CE">
        <w:rPr>
          <w:rFonts w:ascii="Arial" w:hAnsi="Arial" w:cs="Arial"/>
        </w:rPr>
        <w:t xml:space="preserve">en atención a lo dispuesto en la </w:t>
      </w:r>
      <w:r w:rsidR="001766CE" w:rsidRPr="001766CE">
        <w:rPr>
          <w:rFonts w:ascii="Arial" w:hAnsi="Arial" w:cs="Arial"/>
        </w:rPr>
        <w:t>Guía Metodológica</w:t>
      </w:r>
      <w:r w:rsidR="001766CE">
        <w:rPr>
          <w:rFonts w:ascii="Arial" w:hAnsi="Arial" w:cs="Arial"/>
        </w:rPr>
        <w:t xml:space="preserve"> </w:t>
      </w:r>
      <w:r w:rsidR="001766CE" w:rsidRPr="001766CE">
        <w:rPr>
          <w:rFonts w:ascii="Arial" w:hAnsi="Arial" w:cs="Arial"/>
        </w:rPr>
        <w:t>para la Valoración de Riesgo Institucional</w:t>
      </w:r>
      <w:r w:rsidR="001766CE">
        <w:rPr>
          <w:rFonts w:ascii="Arial" w:hAnsi="Arial" w:cs="Arial"/>
        </w:rPr>
        <w:t xml:space="preserve">, </w:t>
      </w:r>
      <w:r w:rsidR="00E02FEC">
        <w:rPr>
          <w:rFonts w:ascii="Arial" w:hAnsi="Arial" w:cs="Arial"/>
        </w:rPr>
        <w:t xml:space="preserve">se </w:t>
      </w:r>
      <w:r w:rsidR="00DB517A">
        <w:rPr>
          <w:rFonts w:ascii="Arial" w:hAnsi="Arial" w:cs="Arial"/>
        </w:rPr>
        <w:t>identifica</w:t>
      </w:r>
      <w:r w:rsidR="006E2FCF">
        <w:rPr>
          <w:rFonts w:ascii="Arial" w:hAnsi="Arial" w:cs="Arial"/>
        </w:rPr>
        <w:t xml:space="preserve"> </w:t>
      </w:r>
      <w:r>
        <w:rPr>
          <w:rFonts w:ascii="Arial" w:hAnsi="Arial" w:cs="Arial"/>
        </w:rPr>
        <w:t xml:space="preserve">la no elaboración del </w:t>
      </w:r>
      <w:r w:rsidRPr="001766CE">
        <w:rPr>
          <w:rFonts w:ascii="Arial" w:hAnsi="Arial" w:cs="Arial"/>
        </w:rPr>
        <w:t>plan para llevar a cabo el Proceso de Gestion de la Valoración de Riesgos institucional en el Ministerio de Hacienda</w:t>
      </w:r>
      <w:r>
        <w:rPr>
          <w:rFonts w:ascii="Arial" w:hAnsi="Arial" w:cs="Arial"/>
        </w:rPr>
        <w:t xml:space="preserve">, de conformidad con lo referido en esta guía, como también, </w:t>
      </w:r>
      <w:r w:rsidR="006E2FCF" w:rsidRPr="006E2FCF">
        <w:rPr>
          <w:rFonts w:ascii="Arial" w:hAnsi="Arial" w:cs="Arial"/>
        </w:rPr>
        <w:t>la necesidad de documentar</w:t>
      </w:r>
      <w:r w:rsidR="005775CE" w:rsidRPr="005775CE">
        <w:t xml:space="preserve"> </w:t>
      </w:r>
      <w:r w:rsidR="006E2FCF" w:rsidRPr="006E2FCF">
        <w:rPr>
          <w:rFonts w:ascii="Arial" w:hAnsi="Arial" w:cs="Arial"/>
        </w:rPr>
        <w:t xml:space="preserve">la revisión </w:t>
      </w:r>
      <w:r>
        <w:rPr>
          <w:rFonts w:ascii="Arial" w:hAnsi="Arial" w:cs="Arial"/>
        </w:rPr>
        <w:t xml:space="preserve">que se estableció </w:t>
      </w:r>
      <w:r w:rsidRPr="00F3789C">
        <w:rPr>
          <w:rFonts w:ascii="Arial" w:hAnsi="Arial" w:cs="Arial"/>
        </w:rPr>
        <w:t xml:space="preserve">al menos una vez al año </w:t>
      </w:r>
      <w:r w:rsidR="006E2FCF" w:rsidRPr="006E2FCF">
        <w:rPr>
          <w:rFonts w:ascii="Arial" w:hAnsi="Arial" w:cs="Arial"/>
        </w:rPr>
        <w:t xml:space="preserve">de </w:t>
      </w:r>
      <w:r>
        <w:rPr>
          <w:rFonts w:ascii="Arial" w:hAnsi="Arial" w:cs="Arial"/>
        </w:rPr>
        <w:t>esta herramienta administrativa</w:t>
      </w:r>
      <w:r w:rsidR="00A63490">
        <w:rPr>
          <w:rFonts w:ascii="Arial" w:hAnsi="Arial" w:cs="Arial"/>
        </w:rPr>
        <w:t>.</w:t>
      </w:r>
    </w:p>
    <w:p w14:paraId="75C0F8B6" w14:textId="77777777" w:rsidR="005F23FE" w:rsidRDefault="005F23FE" w:rsidP="000B2FD3">
      <w:pPr>
        <w:spacing w:after="0" w:line="240" w:lineRule="auto"/>
        <w:ind w:right="22"/>
        <w:contextualSpacing/>
        <w:jc w:val="both"/>
        <w:rPr>
          <w:rFonts w:ascii="Arial" w:hAnsi="Arial" w:cs="Arial"/>
        </w:rPr>
      </w:pPr>
    </w:p>
    <w:p w14:paraId="0712643E" w14:textId="77777777" w:rsidR="00C65CC7" w:rsidRDefault="00C65CC7" w:rsidP="000B2FD3">
      <w:pPr>
        <w:spacing w:after="0" w:line="240" w:lineRule="auto"/>
        <w:ind w:right="22"/>
        <w:contextualSpacing/>
        <w:jc w:val="both"/>
        <w:rPr>
          <w:rFonts w:ascii="Arial" w:hAnsi="Arial" w:cs="Arial"/>
        </w:rPr>
      </w:pPr>
    </w:p>
    <w:p w14:paraId="679C5764" w14:textId="77777777" w:rsidR="0055222A" w:rsidRDefault="0055222A" w:rsidP="00E03114">
      <w:pPr>
        <w:pStyle w:val="Ttulo1"/>
        <w:keepNext w:val="0"/>
        <w:keepLines w:val="0"/>
        <w:numPr>
          <w:ilvl w:val="0"/>
          <w:numId w:val="17"/>
        </w:numPr>
        <w:spacing w:before="0" w:after="0"/>
        <w:ind w:left="360"/>
        <w:contextualSpacing/>
        <w:rPr>
          <w:rFonts w:ascii="Arial" w:hAnsi="Arial" w:cs="Arial"/>
          <w:b/>
          <w:bCs/>
          <w:color w:val="44546A" w:themeColor="text2"/>
          <w:kern w:val="28"/>
          <w:sz w:val="28"/>
          <w:szCs w:val="28"/>
          <w:lang w:eastAsia="es-ES"/>
        </w:rPr>
      </w:pPr>
      <w:bookmarkStart w:id="84" w:name="_Toc390783339"/>
      <w:bookmarkStart w:id="85" w:name="_Toc125702643"/>
      <w:bookmarkEnd w:id="83"/>
      <w:r w:rsidRPr="007A4F9E">
        <w:rPr>
          <w:rFonts w:ascii="Arial" w:hAnsi="Arial" w:cs="Arial"/>
          <w:b/>
          <w:bCs/>
          <w:color w:val="44546A" w:themeColor="text2"/>
          <w:kern w:val="28"/>
          <w:sz w:val="28"/>
          <w:szCs w:val="28"/>
          <w:lang w:eastAsia="es-ES"/>
        </w:rPr>
        <w:t>RECOMENDACIONES</w:t>
      </w:r>
      <w:bookmarkEnd w:id="84"/>
      <w:bookmarkEnd w:id="85"/>
    </w:p>
    <w:p w14:paraId="73D1925C" w14:textId="77777777" w:rsidR="004616D7" w:rsidRDefault="004616D7" w:rsidP="00E03114">
      <w:pPr>
        <w:spacing w:after="0" w:line="240" w:lineRule="auto"/>
        <w:contextualSpacing/>
        <w:rPr>
          <w:lang w:eastAsia="es-ES"/>
        </w:rPr>
      </w:pPr>
    </w:p>
    <w:p w14:paraId="49E8B700" w14:textId="77777777" w:rsidR="004616D7" w:rsidRDefault="00010450" w:rsidP="00E03114">
      <w:pPr>
        <w:spacing w:after="0" w:line="240" w:lineRule="auto"/>
        <w:contextualSpacing/>
        <w:rPr>
          <w:rFonts w:ascii="Arial" w:eastAsiaTheme="majorEastAsia" w:hAnsi="Arial" w:cs="Arial"/>
          <w:b/>
          <w:bCs/>
          <w:color w:val="44546A" w:themeColor="text2"/>
          <w:kern w:val="28"/>
          <w:sz w:val="24"/>
          <w:szCs w:val="24"/>
          <w:lang w:eastAsia="es-ES"/>
        </w:rPr>
      </w:pPr>
      <w:r w:rsidRPr="00010450">
        <w:rPr>
          <w:rFonts w:ascii="Arial" w:eastAsiaTheme="majorEastAsia" w:hAnsi="Arial" w:cs="Arial"/>
          <w:b/>
          <w:bCs/>
          <w:color w:val="44546A" w:themeColor="text2"/>
          <w:kern w:val="28"/>
          <w:sz w:val="24"/>
          <w:szCs w:val="24"/>
          <w:lang w:eastAsia="es-ES"/>
        </w:rPr>
        <w:t>Al señor Ministro de Hacienda:</w:t>
      </w:r>
    </w:p>
    <w:p w14:paraId="7FC16445" w14:textId="77777777" w:rsidR="00E03114" w:rsidRPr="004616D7" w:rsidRDefault="00E03114" w:rsidP="00E03114">
      <w:pPr>
        <w:spacing w:after="0" w:line="240" w:lineRule="auto"/>
        <w:contextualSpacing/>
        <w:rPr>
          <w:rFonts w:ascii="Arial" w:eastAsiaTheme="majorEastAsia" w:hAnsi="Arial" w:cs="Arial"/>
          <w:b/>
          <w:bCs/>
          <w:color w:val="44546A" w:themeColor="text2"/>
          <w:kern w:val="28"/>
          <w:sz w:val="24"/>
          <w:szCs w:val="24"/>
          <w:lang w:eastAsia="es-ES"/>
        </w:rPr>
      </w:pPr>
    </w:p>
    <w:p w14:paraId="60A2EE50" w14:textId="3D5B4719" w:rsidR="00860345" w:rsidRPr="004222E7" w:rsidRDefault="001F4D6A" w:rsidP="00760950">
      <w:pPr>
        <w:pStyle w:val="Textocomentario"/>
        <w:spacing w:after="0"/>
        <w:contextualSpacing/>
        <w:jc w:val="both"/>
        <w:rPr>
          <w:rFonts w:ascii="Arial" w:eastAsiaTheme="minorHAnsi" w:hAnsi="Arial" w:cs="Arial"/>
          <w:color w:val="FF0000"/>
          <w:kern w:val="0"/>
          <w:sz w:val="22"/>
          <w:szCs w:val="24"/>
        </w:rPr>
      </w:pPr>
      <w:r w:rsidRPr="00A136E4">
        <w:rPr>
          <w:rFonts w:ascii="Arial" w:eastAsiaTheme="minorHAnsi" w:hAnsi="Arial" w:cs="Arial"/>
          <w:b/>
          <w:color w:val="auto"/>
          <w:kern w:val="0"/>
          <w:sz w:val="22"/>
          <w:szCs w:val="24"/>
        </w:rPr>
        <w:t>4.1</w:t>
      </w:r>
      <w:r>
        <w:rPr>
          <w:rFonts w:ascii="Arial" w:eastAsiaTheme="minorHAnsi" w:hAnsi="Arial" w:cs="Arial"/>
          <w:b/>
          <w:color w:val="auto"/>
          <w:kern w:val="0"/>
          <w:sz w:val="22"/>
          <w:szCs w:val="24"/>
        </w:rPr>
        <w:t xml:space="preserve"> </w:t>
      </w:r>
      <w:bookmarkStart w:id="86" w:name="_Hlk124860525"/>
      <w:r w:rsidRPr="00C67355">
        <w:rPr>
          <w:rFonts w:ascii="Arial" w:eastAsiaTheme="minorHAnsi" w:hAnsi="Arial" w:cs="Arial"/>
          <w:color w:val="auto"/>
          <w:kern w:val="0"/>
          <w:sz w:val="22"/>
          <w:szCs w:val="24"/>
        </w:rPr>
        <w:t xml:space="preserve">Valorar la conveniencia técnica de establecer en un solo documento </w:t>
      </w:r>
      <w:r w:rsidR="00981CF9" w:rsidRPr="00C67355">
        <w:rPr>
          <w:rFonts w:ascii="Arial" w:eastAsiaTheme="minorHAnsi" w:hAnsi="Arial" w:cs="Arial"/>
          <w:color w:val="auto"/>
          <w:kern w:val="0"/>
          <w:sz w:val="22"/>
          <w:szCs w:val="24"/>
        </w:rPr>
        <w:t>los elementos que deberán conformar el Marco orientador</w:t>
      </w:r>
      <w:r w:rsidR="008A4F9F" w:rsidRPr="00C67355">
        <w:rPr>
          <w:rFonts w:ascii="Arial" w:eastAsiaTheme="minorHAnsi" w:hAnsi="Arial" w:cs="Arial"/>
          <w:color w:val="auto"/>
          <w:kern w:val="0"/>
          <w:sz w:val="22"/>
          <w:szCs w:val="24"/>
        </w:rPr>
        <w:t xml:space="preserve"> del </w:t>
      </w:r>
      <w:r w:rsidR="00A26934" w:rsidRPr="00C67355">
        <w:rPr>
          <w:rFonts w:ascii="Arial" w:eastAsiaTheme="minorHAnsi" w:hAnsi="Arial" w:cs="Arial"/>
          <w:color w:val="auto"/>
          <w:kern w:val="0"/>
          <w:sz w:val="22"/>
          <w:szCs w:val="24"/>
        </w:rPr>
        <w:t xml:space="preserve">SEVRI en el </w:t>
      </w:r>
      <w:r w:rsidR="008A4F9F" w:rsidRPr="00C67355">
        <w:rPr>
          <w:rFonts w:ascii="Arial" w:eastAsiaTheme="minorHAnsi" w:hAnsi="Arial" w:cs="Arial"/>
          <w:color w:val="auto"/>
          <w:kern w:val="0"/>
          <w:sz w:val="22"/>
          <w:szCs w:val="24"/>
        </w:rPr>
        <w:t>Ministerio de Hacienda</w:t>
      </w:r>
      <w:bookmarkEnd w:id="86"/>
      <w:r w:rsidRPr="00C67355">
        <w:rPr>
          <w:rFonts w:ascii="Arial" w:eastAsiaTheme="minorHAnsi" w:hAnsi="Arial" w:cs="Arial"/>
          <w:color w:val="auto"/>
          <w:kern w:val="0"/>
          <w:sz w:val="22"/>
          <w:szCs w:val="24"/>
        </w:rPr>
        <w:t xml:space="preserve">, </w:t>
      </w:r>
      <w:bookmarkStart w:id="87" w:name="_Hlk124858074"/>
      <w:r w:rsidR="00981CF9" w:rsidRPr="00C67355">
        <w:rPr>
          <w:rFonts w:ascii="Arial" w:eastAsiaTheme="minorHAnsi" w:hAnsi="Arial" w:cs="Arial"/>
          <w:color w:val="auto"/>
          <w:kern w:val="0"/>
          <w:sz w:val="22"/>
          <w:szCs w:val="24"/>
        </w:rPr>
        <w:t xml:space="preserve">de manera tal </w:t>
      </w:r>
      <w:r w:rsidR="00646117" w:rsidRPr="00C67355">
        <w:rPr>
          <w:rFonts w:ascii="Arial" w:eastAsiaTheme="minorHAnsi" w:hAnsi="Arial" w:cs="Arial"/>
          <w:color w:val="auto"/>
          <w:kern w:val="0"/>
          <w:sz w:val="22"/>
          <w:szCs w:val="24"/>
        </w:rPr>
        <w:t>que comprenda de conformidad con la normativa aplicable,</w:t>
      </w:r>
      <w:r w:rsidR="00981CF9" w:rsidRPr="00C67355">
        <w:rPr>
          <w:rFonts w:ascii="Arial" w:eastAsiaTheme="minorHAnsi" w:hAnsi="Arial" w:cs="Arial"/>
          <w:color w:val="auto"/>
          <w:kern w:val="0"/>
          <w:sz w:val="22"/>
          <w:szCs w:val="24"/>
        </w:rPr>
        <w:t xml:space="preserve"> lo siguiente:</w:t>
      </w:r>
      <w:r w:rsidR="00646117" w:rsidRPr="00C67355">
        <w:rPr>
          <w:rFonts w:ascii="Arial" w:eastAsiaTheme="minorHAnsi" w:hAnsi="Arial" w:cs="Arial"/>
          <w:color w:val="auto"/>
          <w:kern w:val="0"/>
          <w:sz w:val="22"/>
          <w:szCs w:val="24"/>
        </w:rPr>
        <w:t xml:space="preserve"> </w:t>
      </w:r>
      <w:r w:rsidRPr="00C67355">
        <w:rPr>
          <w:rFonts w:ascii="Arial" w:eastAsiaTheme="minorHAnsi" w:hAnsi="Arial" w:cs="Arial"/>
          <w:color w:val="auto"/>
          <w:kern w:val="0"/>
          <w:sz w:val="22"/>
          <w:szCs w:val="24"/>
        </w:rPr>
        <w:t>la política de valoración del riesgo institucional, la estrategia del SEVRI y la normativa interna que regule el SEVRI.</w:t>
      </w:r>
      <w:bookmarkEnd w:id="87"/>
      <w:r w:rsidR="00DB517A" w:rsidRPr="00C67355">
        <w:rPr>
          <w:rFonts w:ascii="Arial" w:eastAsiaTheme="minorHAnsi" w:hAnsi="Arial" w:cs="Arial"/>
          <w:color w:val="auto"/>
          <w:kern w:val="0"/>
          <w:sz w:val="22"/>
          <w:szCs w:val="24"/>
        </w:rPr>
        <w:t xml:space="preserve"> </w:t>
      </w:r>
      <w:r w:rsidR="0016689A">
        <w:rPr>
          <w:rFonts w:ascii="Arial" w:eastAsiaTheme="minorHAnsi" w:hAnsi="Arial" w:cs="Arial"/>
          <w:color w:val="auto"/>
          <w:kern w:val="0"/>
          <w:sz w:val="22"/>
          <w:szCs w:val="24"/>
        </w:rPr>
        <w:t xml:space="preserve">Esta valoración deberá documentarse en un </w:t>
      </w:r>
      <w:r w:rsidR="00760950" w:rsidRPr="0016689A">
        <w:rPr>
          <w:rFonts w:ascii="Arial" w:eastAsiaTheme="minorHAnsi" w:hAnsi="Arial" w:cs="Arial"/>
          <w:color w:val="auto"/>
          <w:kern w:val="0"/>
          <w:sz w:val="22"/>
          <w:szCs w:val="24"/>
        </w:rPr>
        <w:t xml:space="preserve">informe, así como </w:t>
      </w:r>
      <w:r w:rsidR="0016689A" w:rsidRPr="0016689A">
        <w:rPr>
          <w:rFonts w:ascii="Arial" w:eastAsiaTheme="minorHAnsi" w:hAnsi="Arial" w:cs="Arial"/>
          <w:color w:val="auto"/>
          <w:kern w:val="0"/>
          <w:sz w:val="22"/>
          <w:szCs w:val="24"/>
        </w:rPr>
        <w:t xml:space="preserve">aportar </w:t>
      </w:r>
      <w:r w:rsidR="00760950" w:rsidRPr="0016689A">
        <w:rPr>
          <w:rFonts w:ascii="Arial" w:eastAsiaTheme="minorHAnsi" w:hAnsi="Arial" w:cs="Arial"/>
          <w:color w:val="auto"/>
          <w:kern w:val="0"/>
          <w:sz w:val="22"/>
          <w:szCs w:val="24"/>
        </w:rPr>
        <w:t>los documentos q</w:t>
      </w:r>
      <w:r w:rsidR="0016689A" w:rsidRPr="0016689A">
        <w:rPr>
          <w:rFonts w:ascii="Arial" w:eastAsiaTheme="minorHAnsi" w:hAnsi="Arial" w:cs="Arial"/>
          <w:color w:val="auto"/>
          <w:kern w:val="0"/>
          <w:sz w:val="22"/>
          <w:szCs w:val="24"/>
        </w:rPr>
        <w:t>ue lo respaldan</w:t>
      </w:r>
      <w:r w:rsidR="00760950" w:rsidRPr="0016689A">
        <w:rPr>
          <w:rFonts w:ascii="Arial" w:eastAsiaTheme="minorHAnsi" w:hAnsi="Arial" w:cs="Arial"/>
          <w:color w:val="auto"/>
          <w:kern w:val="0"/>
          <w:sz w:val="22"/>
          <w:szCs w:val="24"/>
        </w:rPr>
        <w:t>.</w:t>
      </w:r>
      <w:r w:rsidR="00C67355" w:rsidRPr="0016689A">
        <w:rPr>
          <w:rFonts w:ascii="Arial" w:eastAsiaTheme="minorHAnsi" w:hAnsi="Arial" w:cs="Arial"/>
          <w:color w:val="auto"/>
          <w:kern w:val="0"/>
          <w:sz w:val="22"/>
          <w:szCs w:val="24"/>
        </w:rPr>
        <w:t xml:space="preserve"> Ver apartado 2.1.1 del presente informe.</w:t>
      </w:r>
    </w:p>
    <w:p w14:paraId="6167CB63" w14:textId="77777777" w:rsidR="00860345" w:rsidRPr="00C67355" w:rsidRDefault="00860345" w:rsidP="001F4D6A">
      <w:pPr>
        <w:pStyle w:val="Textocomentario"/>
        <w:spacing w:after="0"/>
        <w:contextualSpacing/>
        <w:jc w:val="both"/>
        <w:rPr>
          <w:rFonts w:ascii="Arial" w:eastAsiaTheme="minorHAnsi" w:hAnsi="Arial" w:cs="Arial"/>
          <w:color w:val="auto"/>
          <w:kern w:val="0"/>
          <w:sz w:val="22"/>
          <w:szCs w:val="24"/>
        </w:rPr>
      </w:pPr>
    </w:p>
    <w:p w14:paraId="07D96593" w14:textId="16D87E70" w:rsidR="001F4D6A" w:rsidRPr="00C67355" w:rsidRDefault="001F4D6A" w:rsidP="001F4D6A">
      <w:pPr>
        <w:pStyle w:val="Textocomentario"/>
        <w:spacing w:after="0"/>
        <w:contextualSpacing/>
        <w:jc w:val="both"/>
        <w:rPr>
          <w:rFonts w:ascii="Arial" w:eastAsiaTheme="minorHAnsi" w:hAnsi="Arial" w:cs="Arial"/>
          <w:color w:val="auto"/>
          <w:kern w:val="0"/>
          <w:sz w:val="22"/>
          <w:szCs w:val="24"/>
        </w:rPr>
      </w:pPr>
      <w:r w:rsidRPr="00C67355">
        <w:rPr>
          <w:rFonts w:ascii="Arial" w:eastAsiaTheme="minorHAnsi" w:hAnsi="Arial" w:cs="Arial"/>
          <w:color w:val="auto"/>
          <w:kern w:val="0"/>
          <w:sz w:val="22"/>
          <w:szCs w:val="24"/>
        </w:rPr>
        <w:t xml:space="preserve">Para acreditar su cumplimiento se debe remitir a más tardar el </w:t>
      </w:r>
      <w:r w:rsidR="00FA7641" w:rsidRPr="00C67355">
        <w:rPr>
          <w:rFonts w:ascii="Arial" w:eastAsiaTheme="minorHAnsi" w:hAnsi="Arial" w:cs="Arial"/>
          <w:color w:val="auto"/>
          <w:kern w:val="0"/>
          <w:sz w:val="22"/>
          <w:szCs w:val="24"/>
        </w:rPr>
        <w:t xml:space="preserve">31 de mayo 2023 </w:t>
      </w:r>
      <w:r w:rsidRPr="00C67355">
        <w:rPr>
          <w:rFonts w:ascii="Arial" w:eastAsiaTheme="minorHAnsi" w:hAnsi="Arial" w:cs="Arial"/>
          <w:color w:val="auto"/>
          <w:kern w:val="0"/>
          <w:sz w:val="22"/>
          <w:szCs w:val="24"/>
        </w:rPr>
        <w:t>a la Auditoría Interna una certificación en donde se acredite el cumplimiento de la recomendación y la evidencia respectiva.</w:t>
      </w:r>
    </w:p>
    <w:p w14:paraId="3A1A613D" w14:textId="77777777" w:rsidR="001F4D6A" w:rsidRDefault="001F4D6A" w:rsidP="00E03114">
      <w:pPr>
        <w:pStyle w:val="Textocomentario"/>
        <w:spacing w:after="0"/>
        <w:contextualSpacing/>
        <w:jc w:val="both"/>
        <w:rPr>
          <w:rFonts w:ascii="Arial" w:eastAsiaTheme="minorHAnsi" w:hAnsi="Arial" w:cs="Arial"/>
          <w:b/>
          <w:color w:val="auto"/>
          <w:kern w:val="0"/>
          <w:sz w:val="22"/>
          <w:szCs w:val="24"/>
        </w:rPr>
      </w:pPr>
    </w:p>
    <w:p w14:paraId="21113AC7" w14:textId="627E2480" w:rsidR="007D15FE" w:rsidRDefault="00604B61" w:rsidP="00E03114">
      <w:pPr>
        <w:pStyle w:val="Textocomentario"/>
        <w:spacing w:after="0"/>
        <w:contextualSpacing/>
        <w:jc w:val="both"/>
        <w:rPr>
          <w:rFonts w:ascii="Arial" w:eastAsiaTheme="minorHAnsi" w:hAnsi="Arial" w:cs="Arial"/>
          <w:color w:val="auto"/>
          <w:kern w:val="0"/>
          <w:sz w:val="22"/>
          <w:szCs w:val="24"/>
        </w:rPr>
      </w:pPr>
      <w:r w:rsidRPr="00A136E4">
        <w:rPr>
          <w:rFonts w:ascii="Arial" w:eastAsiaTheme="minorHAnsi" w:hAnsi="Arial" w:cs="Arial"/>
          <w:b/>
          <w:color w:val="auto"/>
          <w:kern w:val="0"/>
          <w:sz w:val="22"/>
          <w:szCs w:val="24"/>
        </w:rPr>
        <w:t>4.</w:t>
      </w:r>
      <w:r w:rsidR="001F4D6A">
        <w:rPr>
          <w:rFonts w:ascii="Arial" w:eastAsiaTheme="minorHAnsi" w:hAnsi="Arial" w:cs="Arial"/>
          <w:b/>
          <w:color w:val="auto"/>
          <w:kern w:val="0"/>
          <w:sz w:val="22"/>
          <w:szCs w:val="24"/>
        </w:rPr>
        <w:t>2</w:t>
      </w:r>
      <w:r w:rsidR="005F0EC5">
        <w:rPr>
          <w:rFonts w:ascii="Arial" w:eastAsiaTheme="minorHAnsi" w:hAnsi="Arial" w:cs="Arial"/>
          <w:b/>
          <w:color w:val="auto"/>
          <w:kern w:val="0"/>
          <w:sz w:val="22"/>
          <w:szCs w:val="24"/>
        </w:rPr>
        <w:t xml:space="preserve"> </w:t>
      </w:r>
      <w:r w:rsidR="005F0EC5" w:rsidRPr="0035351E">
        <w:rPr>
          <w:rFonts w:ascii="Arial" w:eastAsiaTheme="minorHAnsi" w:hAnsi="Arial" w:cs="Arial"/>
          <w:color w:val="auto"/>
          <w:kern w:val="0"/>
          <w:sz w:val="22"/>
          <w:szCs w:val="24"/>
        </w:rPr>
        <w:t xml:space="preserve">Elaborar, </w:t>
      </w:r>
      <w:r w:rsidR="0035351E" w:rsidRPr="0035351E">
        <w:rPr>
          <w:rFonts w:ascii="Arial" w:eastAsiaTheme="minorHAnsi" w:hAnsi="Arial" w:cs="Arial"/>
          <w:color w:val="auto"/>
          <w:kern w:val="0"/>
          <w:sz w:val="22"/>
          <w:szCs w:val="24"/>
        </w:rPr>
        <w:t>i</w:t>
      </w:r>
      <w:r w:rsidR="00C744D4" w:rsidRPr="0035351E">
        <w:rPr>
          <w:rFonts w:ascii="Arial" w:eastAsiaTheme="minorHAnsi" w:hAnsi="Arial" w:cs="Arial"/>
          <w:color w:val="auto"/>
          <w:kern w:val="0"/>
          <w:sz w:val="22"/>
          <w:szCs w:val="24"/>
        </w:rPr>
        <w:t xml:space="preserve">mplementar y oficializar </w:t>
      </w:r>
      <w:bookmarkStart w:id="88" w:name="_Hlk124421263"/>
      <w:bookmarkStart w:id="89" w:name="_Hlk124421482"/>
      <w:r w:rsidR="007D15FE" w:rsidRPr="00A660C6">
        <w:rPr>
          <w:rFonts w:ascii="Arial" w:eastAsiaTheme="minorHAnsi" w:hAnsi="Arial" w:cs="Arial"/>
          <w:color w:val="auto"/>
          <w:kern w:val="0"/>
          <w:sz w:val="22"/>
          <w:szCs w:val="24"/>
        </w:rPr>
        <w:t xml:space="preserve">las actividades de control necesarias </w:t>
      </w:r>
      <w:r w:rsidR="0035351E">
        <w:rPr>
          <w:rFonts w:ascii="Arial" w:eastAsiaTheme="minorHAnsi" w:hAnsi="Arial" w:cs="Arial"/>
          <w:color w:val="auto"/>
          <w:kern w:val="0"/>
          <w:sz w:val="22"/>
          <w:szCs w:val="24"/>
        </w:rPr>
        <w:t>que permita</w:t>
      </w:r>
      <w:r w:rsidR="007D15FE">
        <w:rPr>
          <w:rFonts w:ascii="Arial" w:eastAsiaTheme="minorHAnsi" w:hAnsi="Arial" w:cs="Arial"/>
          <w:color w:val="auto"/>
          <w:kern w:val="0"/>
          <w:sz w:val="22"/>
          <w:szCs w:val="24"/>
        </w:rPr>
        <w:t>n</w:t>
      </w:r>
      <w:r w:rsidR="00C744D4" w:rsidRPr="0035351E">
        <w:rPr>
          <w:rFonts w:ascii="Arial" w:eastAsiaTheme="minorHAnsi" w:hAnsi="Arial" w:cs="Arial"/>
          <w:color w:val="auto"/>
          <w:kern w:val="0"/>
          <w:sz w:val="22"/>
          <w:szCs w:val="24"/>
        </w:rPr>
        <w:t xml:space="preserve"> </w:t>
      </w:r>
      <w:r w:rsidR="00270EF7">
        <w:rPr>
          <w:rFonts w:ascii="Arial" w:eastAsiaTheme="minorHAnsi" w:hAnsi="Arial" w:cs="Arial"/>
          <w:color w:val="auto"/>
          <w:kern w:val="0"/>
          <w:sz w:val="22"/>
          <w:szCs w:val="24"/>
        </w:rPr>
        <w:t>la a</w:t>
      </w:r>
      <w:r w:rsidR="00270EF7" w:rsidRPr="00270EF7">
        <w:rPr>
          <w:rFonts w:ascii="Arial" w:eastAsiaTheme="minorHAnsi" w:hAnsi="Arial" w:cs="Arial"/>
          <w:color w:val="auto"/>
          <w:kern w:val="0"/>
          <w:sz w:val="22"/>
          <w:szCs w:val="24"/>
        </w:rPr>
        <w:t>ctualiza</w:t>
      </w:r>
      <w:r w:rsidR="00270EF7">
        <w:rPr>
          <w:rFonts w:ascii="Arial" w:eastAsiaTheme="minorHAnsi" w:hAnsi="Arial" w:cs="Arial"/>
          <w:color w:val="auto"/>
          <w:kern w:val="0"/>
          <w:sz w:val="22"/>
          <w:szCs w:val="24"/>
        </w:rPr>
        <w:t>ción</w:t>
      </w:r>
      <w:r w:rsidR="008D7F6C">
        <w:rPr>
          <w:rFonts w:ascii="Arial" w:eastAsiaTheme="minorHAnsi" w:hAnsi="Arial" w:cs="Arial"/>
          <w:color w:val="auto"/>
          <w:kern w:val="0"/>
          <w:sz w:val="22"/>
          <w:szCs w:val="24"/>
        </w:rPr>
        <w:t xml:space="preserve"> periódica</w:t>
      </w:r>
      <w:r w:rsidR="00270EF7">
        <w:rPr>
          <w:rFonts w:ascii="Arial" w:eastAsiaTheme="minorHAnsi" w:hAnsi="Arial" w:cs="Arial"/>
          <w:color w:val="auto"/>
          <w:kern w:val="0"/>
          <w:sz w:val="22"/>
          <w:szCs w:val="24"/>
        </w:rPr>
        <w:t xml:space="preserve"> de</w:t>
      </w:r>
      <w:r w:rsidR="00270EF7" w:rsidRPr="00270EF7">
        <w:rPr>
          <w:rFonts w:ascii="Arial" w:eastAsiaTheme="minorHAnsi" w:hAnsi="Arial" w:cs="Arial"/>
          <w:color w:val="auto"/>
          <w:kern w:val="0"/>
          <w:sz w:val="22"/>
          <w:szCs w:val="24"/>
        </w:rPr>
        <w:t xml:space="preserve"> </w:t>
      </w:r>
      <w:r w:rsidR="007D15FE" w:rsidRPr="00A660C6">
        <w:rPr>
          <w:rFonts w:ascii="Arial" w:eastAsiaTheme="minorHAnsi" w:hAnsi="Arial" w:cs="Arial"/>
          <w:color w:val="auto"/>
          <w:kern w:val="0"/>
          <w:sz w:val="22"/>
          <w:szCs w:val="24"/>
        </w:rPr>
        <w:t>la normativa interna que regula el SEVRI en el ámbito institucional</w:t>
      </w:r>
      <w:bookmarkEnd w:id="88"/>
      <w:r w:rsidR="007D15FE" w:rsidRPr="00A660C6">
        <w:rPr>
          <w:rFonts w:ascii="Arial" w:eastAsiaTheme="minorHAnsi" w:hAnsi="Arial" w:cs="Arial"/>
          <w:color w:val="auto"/>
          <w:kern w:val="0"/>
          <w:sz w:val="22"/>
          <w:szCs w:val="24"/>
        </w:rPr>
        <w:t xml:space="preserve">; lo anterior, de conformidad con </w:t>
      </w:r>
      <w:bookmarkEnd w:id="89"/>
      <w:r w:rsidR="000E72F4">
        <w:rPr>
          <w:rFonts w:ascii="Arial" w:eastAsiaTheme="minorHAnsi" w:hAnsi="Arial" w:cs="Arial"/>
          <w:color w:val="auto"/>
          <w:kern w:val="0"/>
          <w:sz w:val="22"/>
          <w:szCs w:val="24"/>
        </w:rPr>
        <w:t xml:space="preserve">el </w:t>
      </w:r>
      <w:r w:rsidR="000E72F4" w:rsidRPr="000E72F4">
        <w:rPr>
          <w:rFonts w:ascii="Arial" w:eastAsiaTheme="minorHAnsi" w:hAnsi="Arial" w:cs="Arial"/>
          <w:color w:val="auto"/>
          <w:kern w:val="0"/>
          <w:sz w:val="22"/>
          <w:szCs w:val="24"/>
        </w:rPr>
        <w:t>marco normativo.</w:t>
      </w:r>
      <w:r w:rsidR="00DB517A">
        <w:rPr>
          <w:rFonts w:ascii="Arial" w:eastAsiaTheme="minorHAnsi" w:hAnsi="Arial" w:cs="Arial"/>
          <w:color w:val="auto"/>
          <w:kern w:val="0"/>
          <w:sz w:val="22"/>
          <w:szCs w:val="24"/>
        </w:rPr>
        <w:t xml:space="preserve"> </w:t>
      </w:r>
      <w:r w:rsidR="00DB517A" w:rsidRPr="00CA6FA5">
        <w:rPr>
          <w:rFonts w:ascii="Arial" w:eastAsiaTheme="minorHAnsi" w:hAnsi="Arial" w:cs="Arial"/>
          <w:color w:val="auto"/>
          <w:kern w:val="0"/>
          <w:sz w:val="22"/>
          <w:szCs w:val="24"/>
        </w:rPr>
        <w:t>Ver apartado 2.1</w:t>
      </w:r>
      <w:r w:rsidR="00DB517A">
        <w:rPr>
          <w:rFonts w:ascii="Arial" w:eastAsiaTheme="minorHAnsi" w:hAnsi="Arial" w:cs="Arial"/>
          <w:color w:val="auto"/>
          <w:kern w:val="0"/>
          <w:sz w:val="22"/>
          <w:szCs w:val="24"/>
        </w:rPr>
        <w:t>.2</w:t>
      </w:r>
      <w:r w:rsidR="00DB517A" w:rsidRPr="00CA6FA5">
        <w:rPr>
          <w:rFonts w:ascii="Arial" w:eastAsiaTheme="minorHAnsi" w:hAnsi="Arial" w:cs="Arial"/>
          <w:color w:val="auto"/>
          <w:kern w:val="0"/>
          <w:sz w:val="22"/>
          <w:szCs w:val="24"/>
        </w:rPr>
        <w:t xml:space="preserve"> del presente informe.</w:t>
      </w:r>
    </w:p>
    <w:p w14:paraId="2D08A110" w14:textId="77777777" w:rsidR="000E72F4" w:rsidRDefault="000E72F4" w:rsidP="00E03114">
      <w:pPr>
        <w:pStyle w:val="Textocomentario"/>
        <w:spacing w:after="0"/>
        <w:contextualSpacing/>
        <w:jc w:val="both"/>
        <w:rPr>
          <w:rFonts w:ascii="Arial" w:eastAsiaTheme="minorHAnsi" w:hAnsi="Arial" w:cs="Arial"/>
          <w:color w:val="auto"/>
          <w:kern w:val="0"/>
          <w:sz w:val="22"/>
          <w:szCs w:val="24"/>
        </w:rPr>
      </w:pPr>
    </w:p>
    <w:p w14:paraId="3F17A234" w14:textId="583FA685" w:rsidR="00B47EA6" w:rsidRDefault="00CA6FA5" w:rsidP="00E03114">
      <w:pPr>
        <w:pStyle w:val="Textocomentario"/>
        <w:spacing w:after="0"/>
        <w:contextualSpacing/>
        <w:jc w:val="both"/>
        <w:rPr>
          <w:rFonts w:ascii="Arial" w:eastAsiaTheme="minorHAnsi" w:hAnsi="Arial" w:cs="Arial"/>
          <w:color w:val="auto"/>
          <w:kern w:val="0"/>
          <w:sz w:val="22"/>
          <w:szCs w:val="24"/>
        </w:rPr>
      </w:pPr>
      <w:r w:rsidRPr="00CA6FA5">
        <w:rPr>
          <w:rFonts w:ascii="Arial" w:eastAsiaTheme="minorHAnsi" w:hAnsi="Arial" w:cs="Arial"/>
          <w:color w:val="auto"/>
          <w:kern w:val="0"/>
          <w:sz w:val="22"/>
          <w:szCs w:val="24"/>
        </w:rPr>
        <w:t xml:space="preserve">Para acreditar su cumplimiento se debe remitir a más tardar el </w:t>
      </w:r>
      <w:r w:rsidR="00FA7641" w:rsidRPr="00FA7641">
        <w:rPr>
          <w:rFonts w:ascii="Arial" w:eastAsiaTheme="minorHAnsi" w:hAnsi="Arial" w:cs="Arial"/>
          <w:color w:val="auto"/>
          <w:kern w:val="0"/>
          <w:sz w:val="22"/>
          <w:szCs w:val="24"/>
        </w:rPr>
        <w:t>30 de junio 2023</w:t>
      </w:r>
      <w:r w:rsidR="00FA7641">
        <w:rPr>
          <w:rFonts w:ascii="Arial" w:eastAsiaTheme="minorHAnsi" w:hAnsi="Arial" w:cs="Arial"/>
          <w:color w:val="auto"/>
          <w:kern w:val="0"/>
          <w:sz w:val="22"/>
          <w:szCs w:val="24"/>
        </w:rPr>
        <w:t xml:space="preserve"> </w:t>
      </w:r>
      <w:r w:rsidRPr="00CA6FA5">
        <w:rPr>
          <w:rFonts w:ascii="Arial" w:eastAsiaTheme="minorHAnsi" w:hAnsi="Arial" w:cs="Arial"/>
          <w:color w:val="auto"/>
          <w:kern w:val="0"/>
          <w:sz w:val="22"/>
          <w:szCs w:val="24"/>
        </w:rPr>
        <w:t xml:space="preserve">a la Auditoría Interna una certificación en donde se acredite el cumplimiento de la recomendación y la evidencia respectiva. </w:t>
      </w:r>
    </w:p>
    <w:p w14:paraId="08B671FF" w14:textId="77777777" w:rsidR="001F4D6A" w:rsidRDefault="001F4D6A" w:rsidP="00E03114">
      <w:pPr>
        <w:pStyle w:val="Textocomentario"/>
        <w:spacing w:after="0"/>
        <w:contextualSpacing/>
        <w:jc w:val="both"/>
        <w:rPr>
          <w:rFonts w:ascii="Arial" w:eastAsiaTheme="minorHAnsi" w:hAnsi="Arial" w:cs="Arial"/>
          <w:color w:val="auto"/>
          <w:kern w:val="0"/>
          <w:sz w:val="22"/>
          <w:szCs w:val="24"/>
        </w:rPr>
      </w:pPr>
    </w:p>
    <w:p w14:paraId="646F2761" w14:textId="77777777" w:rsidR="00DB517A" w:rsidRDefault="001F4D6A" w:rsidP="00DB517A">
      <w:pPr>
        <w:pStyle w:val="Textocomentario"/>
        <w:spacing w:after="0"/>
        <w:contextualSpacing/>
        <w:jc w:val="both"/>
        <w:rPr>
          <w:rFonts w:ascii="Arial" w:eastAsiaTheme="minorHAnsi" w:hAnsi="Arial" w:cs="Arial"/>
          <w:color w:val="auto"/>
          <w:kern w:val="0"/>
          <w:sz w:val="22"/>
          <w:szCs w:val="24"/>
        </w:rPr>
      </w:pPr>
      <w:r w:rsidRPr="00C96DF5">
        <w:rPr>
          <w:rFonts w:ascii="Arial" w:eastAsiaTheme="minorHAnsi" w:hAnsi="Arial" w:cs="Arial"/>
          <w:b/>
          <w:color w:val="auto"/>
          <w:kern w:val="0"/>
          <w:sz w:val="22"/>
          <w:szCs w:val="24"/>
        </w:rPr>
        <w:t>4.3</w:t>
      </w:r>
      <w:r w:rsidRPr="00C96DF5">
        <w:rPr>
          <w:rFonts w:ascii="Arial" w:eastAsiaTheme="minorHAnsi" w:hAnsi="Arial" w:cs="Arial"/>
          <w:color w:val="auto"/>
          <w:kern w:val="0"/>
          <w:sz w:val="22"/>
          <w:szCs w:val="24"/>
        </w:rPr>
        <w:t xml:space="preserve"> </w:t>
      </w:r>
      <w:r w:rsidRPr="0035351E">
        <w:rPr>
          <w:rFonts w:ascii="Arial" w:eastAsiaTheme="minorHAnsi" w:hAnsi="Arial" w:cs="Arial"/>
          <w:color w:val="auto"/>
          <w:kern w:val="0"/>
          <w:sz w:val="22"/>
          <w:szCs w:val="24"/>
        </w:rPr>
        <w:t xml:space="preserve">Elaborar, implementar y oficializar </w:t>
      </w:r>
      <w:r w:rsidRPr="00A660C6">
        <w:rPr>
          <w:rFonts w:ascii="Arial" w:eastAsiaTheme="minorHAnsi" w:hAnsi="Arial" w:cs="Arial"/>
          <w:color w:val="auto"/>
          <w:kern w:val="0"/>
          <w:sz w:val="22"/>
          <w:szCs w:val="24"/>
        </w:rPr>
        <w:t>l</w:t>
      </w:r>
      <w:r w:rsidR="00A2005E">
        <w:rPr>
          <w:rFonts w:ascii="Arial" w:eastAsiaTheme="minorHAnsi" w:hAnsi="Arial" w:cs="Arial"/>
          <w:color w:val="auto"/>
          <w:kern w:val="0"/>
          <w:sz w:val="22"/>
          <w:szCs w:val="24"/>
        </w:rPr>
        <w:t>o</w:t>
      </w:r>
      <w:r w:rsidRPr="00A660C6">
        <w:rPr>
          <w:rFonts w:ascii="Arial" w:eastAsiaTheme="minorHAnsi" w:hAnsi="Arial" w:cs="Arial"/>
          <w:color w:val="auto"/>
          <w:kern w:val="0"/>
          <w:sz w:val="22"/>
          <w:szCs w:val="24"/>
        </w:rPr>
        <w:t>s</w:t>
      </w:r>
      <w:r w:rsidR="00C96DF5" w:rsidRPr="00C96DF5">
        <w:rPr>
          <w:rFonts w:ascii="Arial" w:eastAsiaTheme="minorHAnsi" w:hAnsi="Arial" w:cs="Arial"/>
          <w:color w:val="auto"/>
          <w:kern w:val="0"/>
          <w:sz w:val="22"/>
          <w:szCs w:val="24"/>
        </w:rPr>
        <w:t xml:space="preserve"> mecanismos de control para conformar razonablemente el componente denominado “Ambiente de Apoyo”, de manera tal </w:t>
      </w:r>
      <w:r w:rsidR="009A7522" w:rsidRPr="009A7522">
        <w:rPr>
          <w:rFonts w:ascii="Arial" w:eastAsiaTheme="minorHAnsi" w:hAnsi="Arial" w:cs="Arial"/>
          <w:color w:val="auto"/>
          <w:kern w:val="0"/>
          <w:sz w:val="22"/>
          <w:szCs w:val="24"/>
        </w:rPr>
        <w:t xml:space="preserve">que procure la </w:t>
      </w:r>
      <w:r w:rsidR="009A7522" w:rsidRPr="009A7522">
        <w:rPr>
          <w:rFonts w:ascii="Arial" w:eastAsiaTheme="minorHAnsi" w:hAnsi="Arial" w:cs="Arial"/>
          <w:color w:val="auto"/>
          <w:kern w:val="0"/>
          <w:sz w:val="22"/>
          <w:szCs w:val="24"/>
        </w:rPr>
        <w:lastRenderedPageBreak/>
        <w:t xml:space="preserve">consolidación de una estructura organizacional que apoye la operación del </w:t>
      </w:r>
      <w:r w:rsidR="00DC1715">
        <w:rPr>
          <w:rFonts w:ascii="Arial" w:eastAsiaTheme="minorHAnsi" w:hAnsi="Arial" w:cs="Arial"/>
          <w:color w:val="auto"/>
          <w:kern w:val="0"/>
          <w:sz w:val="22"/>
          <w:szCs w:val="24"/>
        </w:rPr>
        <w:t>SEVRI</w:t>
      </w:r>
      <w:r w:rsidR="00C96DF5" w:rsidRPr="00C96DF5">
        <w:rPr>
          <w:rFonts w:ascii="Arial" w:eastAsiaTheme="minorHAnsi" w:hAnsi="Arial" w:cs="Arial"/>
          <w:color w:val="auto"/>
          <w:kern w:val="0"/>
          <w:sz w:val="22"/>
          <w:szCs w:val="24"/>
        </w:rPr>
        <w:t xml:space="preserve">, de conformidad con la norma aplicable.  </w:t>
      </w:r>
      <w:r w:rsidR="00DB517A" w:rsidRPr="00CA6FA5">
        <w:rPr>
          <w:rFonts w:ascii="Arial" w:eastAsiaTheme="minorHAnsi" w:hAnsi="Arial" w:cs="Arial"/>
          <w:color w:val="auto"/>
          <w:kern w:val="0"/>
          <w:sz w:val="22"/>
          <w:szCs w:val="24"/>
        </w:rPr>
        <w:t>Ver apartado 2.1</w:t>
      </w:r>
      <w:r w:rsidR="00DB517A">
        <w:rPr>
          <w:rFonts w:ascii="Arial" w:eastAsiaTheme="minorHAnsi" w:hAnsi="Arial" w:cs="Arial"/>
          <w:color w:val="auto"/>
          <w:kern w:val="0"/>
          <w:sz w:val="22"/>
          <w:szCs w:val="24"/>
        </w:rPr>
        <w:t>.3</w:t>
      </w:r>
      <w:r w:rsidR="00DB517A" w:rsidRPr="00CA6FA5">
        <w:rPr>
          <w:rFonts w:ascii="Arial" w:eastAsiaTheme="minorHAnsi" w:hAnsi="Arial" w:cs="Arial"/>
          <w:color w:val="auto"/>
          <w:kern w:val="0"/>
          <w:sz w:val="22"/>
          <w:szCs w:val="24"/>
        </w:rPr>
        <w:t xml:space="preserve"> del presente informe.</w:t>
      </w:r>
    </w:p>
    <w:p w14:paraId="5A3FF397" w14:textId="77777777" w:rsidR="00C96DF5" w:rsidRDefault="00C96DF5" w:rsidP="00C96DF5">
      <w:pPr>
        <w:pStyle w:val="Textocomentario"/>
        <w:spacing w:after="0"/>
        <w:contextualSpacing/>
        <w:jc w:val="both"/>
        <w:rPr>
          <w:rFonts w:ascii="Arial" w:eastAsiaTheme="minorHAnsi" w:hAnsi="Arial" w:cs="Arial"/>
          <w:color w:val="auto"/>
          <w:kern w:val="0"/>
          <w:sz w:val="22"/>
          <w:szCs w:val="24"/>
        </w:rPr>
      </w:pPr>
    </w:p>
    <w:p w14:paraId="4F81D27D" w14:textId="77777777" w:rsidR="00CF7021" w:rsidRDefault="00CF7021" w:rsidP="001F4D6A">
      <w:pPr>
        <w:pStyle w:val="Textocomentario"/>
        <w:spacing w:after="0"/>
        <w:contextualSpacing/>
        <w:jc w:val="both"/>
        <w:rPr>
          <w:rFonts w:ascii="Arial" w:eastAsiaTheme="minorHAnsi" w:hAnsi="Arial" w:cs="Arial"/>
          <w:color w:val="auto"/>
          <w:kern w:val="0"/>
          <w:sz w:val="22"/>
          <w:szCs w:val="24"/>
        </w:rPr>
      </w:pPr>
    </w:p>
    <w:p w14:paraId="6270CB49" w14:textId="2318AC93" w:rsidR="001F4D6A" w:rsidRDefault="001F4D6A" w:rsidP="001F4D6A">
      <w:pPr>
        <w:pStyle w:val="Textocomentario"/>
        <w:spacing w:after="0"/>
        <w:contextualSpacing/>
        <w:jc w:val="both"/>
        <w:rPr>
          <w:rFonts w:ascii="Arial" w:eastAsiaTheme="minorHAnsi" w:hAnsi="Arial" w:cs="Arial"/>
          <w:color w:val="auto"/>
          <w:kern w:val="0"/>
          <w:sz w:val="22"/>
          <w:szCs w:val="24"/>
        </w:rPr>
      </w:pPr>
      <w:r w:rsidRPr="00CA6FA5">
        <w:rPr>
          <w:rFonts w:ascii="Arial" w:eastAsiaTheme="minorHAnsi" w:hAnsi="Arial" w:cs="Arial"/>
          <w:color w:val="auto"/>
          <w:kern w:val="0"/>
          <w:sz w:val="22"/>
          <w:szCs w:val="24"/>
        </w:rPr>
        <w:t xml:space="preserve">Para acreditar su cumplimiento se debe remitir a más tardar el </w:t>
      </w:r>
      <w:r w:rsidR="00FA7641" w:rsidRPr="00FA7641">
        <w:rPr>
          <w:rFonts w:ascii="Arial" w:eastAsiaTheme="minorHAnsi" w:hAnsi="Arial" w:cs="Arial"/>
          <w:color w:val="auto"/>
          <w:kern w:val="0"/>
          <w:sz w:val="22"/>
          <w:szCs w:val="24"/>
        </w:rPr>
        <w:t>30 de junio 2023</w:t>
      </w:r>
      <w:r w:rsidR="00FA7641">
        <w:rPr>
          <w:rFonts w:ascii="Arial" w:eastAsiaTheme="minorHAnsi" w:hAnsi="Arial" w:cs="Arial"/>
          <w:color w:val="auto"/>
          <w:kern w:val="0"/>
          <w:sz w:val="22"/>
          <w:szCs w:val="24"/>
        </w:rPr>
        <w:t xml:space="preserve"> </w:t>
      </w:r>
      <w:r w:rsidRPr="00CA6FA5">
        <w:rPr>
          <w:rFonts w:ascii="Arial" w:eastAsiaTheme="minorHAnsi" w:hAnsi="Arial" w:cs="Arial"/>
          <w:color w:val="auto"/>
          <w:kern w:val="0"/>
          <w:sz w:val="22"/>
          <w:szCs w:val="24"/>
        </w:rPr>
        <w:t xml:space="preserve">a la Auditoría Interna una certificación en donde se acredite el cumplimiento de la recomendación y la evidencia respectiva. </w:t>
      </w:r>
    </w:p>
    <w:p w14:paraId="1C338AC9" w14:textId="77777777" w:rsidR="001F4D6A" w:rsidRDefault="001F4D6A" w:rsidP="00E03114">
      <w:pPr>
        <w:pStyle w:val="Textocomentario"/>
        <w:spacing w:after="0"/>
        <w:contextualSpacing/>
        <w:jc w:val="both"/>
        <w:rPr>
          <w:rFonts w:ascii="Arial" w:eastAsiaTheme="minorHAnsi" w:hAnsi="Arial" w:cs="Arial"/>
          <w:color w:val="auto"/>
          <w:kern w:val="0"/>
          <w:sz w:val="22"/>
          <w:szCs w:val="24"/>
        </w:rPr>
      </w:pPr>
    </w:p>
    <w:p w14:paraId="005FFDA4" w14:textId="6FD1015F" w:rsidR="00B47EA6" w:rsidRDefault="00B47EA6" w:rsidP="00B47EA6">
      <w:pPr>
        <w:pStyle w:val="Textocomentario"/>
        <w:spacing w:after="0"/>
        <w:contextualSpacing/>
        <w:jc w:val="both"/>
        <w:rPr>
          <w:rFonts w:ascii="Arial" w:eastAsiaTheme="minorHAnsi" w:hAnsi="Arial" w:cs="Arial"/>
          <w:color w:val="auto"/>
          <w:kern w:val="0"/>
          <w:sz w:val="22"/>
          <w:szCs w:val="24"/>
        </w:rPr>
      </w:pPr>
      <w:r w:rsidRPr="00A136E4">
        <w:rPr>
          <w:rFonts w:ascii="Arial" w:eastAsiaTheme="minorHAnsi" w:hAnsi="Arial" w:cs="Arial"/>
          <w:b/>
          <w:color w:val="auto"/>
          <w:kern w:val="0"/>
          <w:sz w:val="22"/>
          <w:szCs w:val="24"/>
        </w:rPr>
        <w:t>4.</w:t>
      </w:r>
      <w:r w:rsidR="001F4D6A">
        <w:rPr>
          <w:rFonts w:ascii="Arial" w:eastAsiaTheme="minorHAnsi" w:hAnsi="Arial" w:cs="Arial"/>
          <w:b/>
          <w:color w:val="auto"/>
          <w:kern w:val="0"/>
          <w:sz w:val="22"/>
          <w:szCs w:val="24"/>
        </w:rPr>
        <w:t>4</w:t>
      </w:r>
      <w:r>
        <w:rPr>
          <w:rFonts w:ascii="Arial" w:eastAsiaTheme="minorHAnsi" w:hAnsi="Arial" w:cs="Arial"/>
          <w:b/>
          <w:color w:val="auto"/>
          <w:kern w:val="0"/>
          <w:sz w:val="22"/>
          <w:szCs w:val="24"/>
        </w:rPr>
        <w:t xml:space="preserve"> </w:t>
      </w:r>
      <w:bookmarkStart w:id="90" w:name="_Hlk124421644"/>
      <w:r w:rsidR="00B31BEC" w:rsidRPr="00B31BEC">
        <w:rPr>
          <w:rFonts w:ascii="Arial" w:eastAsiaTheme="minorHAnsi" w:hAnsi="Arial" w:cs="Arial"/>
          <w:color w:val="auto"/>
          <w:kern w:val="0"/>
          <w:sz w:val="22"/>
          <w:szCs w:val="24"/>
        </w:rPr>
        <w:t xml:space="preserve">Elaborar, oficializar y divulgar una metodología de supervisión </w:t>
      </w:r>
      <w:r w:rsidR="00E07CBD" w:rsidRPr="00E07CBD">
        <w:rPr>
          <w:rFonts w:ascii="Arial" w:eastAsiaTheme="minorHAnsi" w:hAnsi="Arial" w:cs="Arial"/>
          <w:color w:val="auto"/>
          <w:kern w:val="0"/>
          <w:sz w:val="22"/>
          <w:szCs w:val="24"/>
        </w:rPr>
        <w:t>que permita que las actividades previstas en la Guía Metodológica Valoración de Riesgo Institucional se desarrollen en los plazos y condiciones previstas, para asegurar razonablemente el cumplimiento de lo dispuesto en dicha normativa y demás lineamientos relativos al tema.</w:t>
      </w:r>
      <w:r>
        <w:rPr>
          <w:rFonts w:ascii="Arial" w:eastAsiaTheme="minorHAnsi" w:hAnsi="Arial" w:cs="Arial"/>
          <w:color w:val="auto"/>
          <w:kern w:val="0"/>
          <w:sz w:val="22"/>
          <w:szCs w:val="24"/>
        </w:rPr>
        <w:t xml:space="preserve"> </w:t>
      </w:r>
      <w:bookmarkEnd w:id="90"/>
      <w:r w:rsidR="00DB517A" w:rsidRPr="00B31BEC">
        <w:rPr>
          <w:rFonts w:ascii="Arial" w:eastAsiaTheme="minorHAnsi" w:hAnsi="Arial" w:cs="Arial"/>
          <w:color w:val="auto"/>
          <w:kern w:val="0"/>
          <w:sz w:val="22"/>
          <w:szCs w:val="24"/>
        </w:rPr>
        <w:t>Ver apartados 2.</w:t>
      </w:r>
      <w:r w:rsidR="00DB517A">
        <w:rPr>
          <w:rFonts w:ascii="Arial" w:eastAsiaTheme="minorHAnsi" w:hAnsi="Arial" w:cs="Arial"/>
          <w:color w:val="auto"/>
          <w:kern w:val="0"/>
          <w:sz w:val="22"/>
          <w:szCs w:val="24"/>
        </w:rPr>
        <w:t>2</w:t>
      </w:r>
      <w:r w:rsidR="00DB517A" w:rsidRPr="00B31BEC">
        <w:rPr>
          <w:rFonts w:ascii="Arial" w:eastAsiaTheme="minorHAnsi" w:hAnsi="Arial" w:cs="Arial"/>
          <w:color w:val="auto"/>
          <w:kern w:val="0"/>
          <w:sz w:val="22"/>
          <w:szCs w:val="24"/>
        </w:rPr>
        <w:t>.1 y 2.</w:t>
      </w:r>
      <w:r w:rsidR="00DB517A">
        <w:rPr>
          <w:rFonts w:ascii="Arial" w:eastAsiaTheme="minorHAnsi" w:hAnsi="Arial" w:cs="Arial"/>
          <w:color w:val="auto"/>
          <w:kern w:val="0"/>
          <w:sz w:val="22"/>
          <w:szCs w:val="24"/>
        </w:rPr>
        <w:t>2</w:t>
      </w:r>
      <w:r w:rsidR="00DB517A" w:rsidRPr="00B31BEC">
        <w:rPr>
          <w:rFonts w:ascii="Arial" w:eastAsiaTheme="minorHAnsi" w:hAnsi="Arial" w:cs="Arial"/>
          <w:color w:val="auto"/>
          <w:kern w:val="0"/>
          <w:sz w:val="22"/>
          <w:szCs w:val="24"/>
        </w:rPr>
        <w:t>.2 del presente informe.</w:t>
      </w:r>
    </w:p>
    <w:p w14:paraId="7D922E07" w14:textId="77777777" w:rsidR="00B31BEC" w:rsidRDefault="00B31BEC" w:rsidP="00B47EA6">
      <w:pPr>
        <w:pStyle w:val="Textocomentario"/>
        <w:spacing w:after="0"/>
        <w:contextualSpacing/>
        <w:jc w:val="both"/>
        <w:rPr>
          <w:rFonts w:ascii="Arial" w:eastAsiaTheme="minorHAnsi" w:hAnsi="Arial" w:cs="Arial"/>
          <w:color w:val="auto"/>
          <w:kern w:val="0"/>
          <w:sz w:val="22"/>
          <w:szCs w:val="24"/>
        </w:rPr>
      </w:pPr>
    </w:p>
    <w:p w14:paraId="6BFCBE40" w14:textId="7C7A4E15" w:rsidR="00B31BEC" w:rsidRDefault="00B31BEC" w:rsidP="00B47EA6">
      <w:pPr>
        <w:pStyle w:val="Textocomentario"/>
        <w:spacing w:after="0"/>
        <w:contextualSpacing/>
        <w:jc w:val="both"/>
        <w:rPr>
          <w:rFonts w:ascii="Arial" w:eastAsiaTheme="minorHAnsi" w:hAnsi="Arial" w:cs="Arial"/>
          <w:color w:val="auto"/>
          <w:kern w:val="0"/>
          <w:sz w:val="22"/>
          <w:szCs w:val="24"/>
        </w:rPr>
      </w:pPr>
      <w:r w:rsidRPr="00B31BEC">
        <w:rPr>
          <w:rFonts w:ascii="Arial" w:eastAsiaTheme="minorHAnsi" w:hAnsi="Arial" w:cs="Arial"/>
          <w:color w:val="auto"/>
          <w:kern w:val="0"/>
          <w:sz w:val="22"/>
          <w:szCs w:val="24"/>
        </w:rPr>
        <w:t xml:space="preserve">Para acreditar su cumplimiento se debe remitir a más tardar el </w:t>
      </w:r>
      <w:r w:rsidR="00FA7641" w:rsidRPr="00FA7641">
        <w:rPr>
          <w:rFonts w:ascii="Arial" w:eastAsiaTheme="minorHAnsi" w:hAnsi="Arial" w:cs="Arial"/>
          <w:color w:val="auto"/>
          <w:kern w:val="0"/>
          <w:sz w:val="22"/>
          <w:szCs w:val="24"/>
        </w:rPr>
        <w:t>30 de junio 2023</w:t>
      </w:r>
      <w:r w:rsidR="00FA7641">
        <w:rPr>
          <w:rFonts w:ascii="Arial" w:eastAsiaTheme="minorHAnsi" w:hAnsi="Arial" w:cs="Arial"/>
          <w:color w:val="auto"/>
          <w:kern w:val="0"/>
          <w:sz w:val="22"/>
          <w:szCs w:val="24"/>
        </w:rPr>
        <w:t xml:space="preserve"> </w:t>
      </w:r>
      <w:r w:rsidRPr="00B31BEC">
        <w:rPr>
          <w:rFonts w:ascii="Arial" w:eastAsiaTheme="minorHAnsi" w:hAnsi="Arial" w:cs="Arial"/>
          <w:color w:val="auto"/>
          <w:kern w:val="0"/>
          <w:sz w:val="22"/>
          <w:szCs w:val="24"/>
        </w:rPr>
        <w:t xml:space="preserve">a la Auditoría Interna una certificación en donde se acredite el cumplimiento de la recomendación y la evidencia respectiva. </w:t>
      </w:r>
    </w:p>
    <w:p w14:paraId="5A1B8147" w14:textId="77777777" w:rsidR="002111ED" w:rsidRDefault="002111ED" w:rsidP="00E03114">
      <w:pPr>
        <w:pStyle w:val="Prrafodelista"/>
        <w:spacing w:after="0" w:line="240" w:lineRule="auto"/>
        <w:ind w:left="792"/>
        <w:jc w:val="both"/>
        <w:rPr>
          <w:rFonts w:ascii="Arial" w:hAnsi="Arial" w:cs="Arial"/>
        </w:rPr>
      </w:pPr>
    </w:p>
    <w:p w14:paraId="6C3B6D83" w14:textId="77777777" w:rsidR="00010450" w:rsidRPr="00AD3A5A" w:rsidRDefault="00010450" w:rsidP="00010450">
      <w:pPr>
        <w:spacing w:after="0" w:line="240" w:lineRule="auto"/>
        <w:ind w:right="22"/>
        <w:contextualSpacing/>
        <w:jc w:val="both"/>
        <w:rPr>
          <w:rFonts w:ascii="Arial" w:hAnsi="Arial" w:cs="Arial"/>
        </w:rPr>
      </w:pPr>
      <w:r w:rsidRPr="0053763F">
        <w:rPr>
          <w:rFonts w:ascii="Arial" w:hAnsi="Arial" w:cs="Arial"/>
        </w:rPr>
        <w:t>Con base en lo anterior, se le solicita proceder conforme lo dispone el artículo 37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30 días hábiles establecido en el citado artículo, así como presentar en un plazo razonable el plan de acción que se defina para la implementación efectiva</w:t>
      </w:r>
      <w:r w:rsidRPr="0094691A">
        <w:rPr>
          <w:rFonts w:ascii="Arial" w:hAnsi="Arial" w:cs="Arial"/>
        </w:rPr>
        <w:t xml:space="preserve"> de lo recomendado.</w:t>
      </w:r>
    </w:p>
    <w:p w14:paraId="3EE529EF" w14:textId="77777777" w:rsidR="00010450" w:rsidRPr="003867A4" w:rsidRDefault="00010450" w:rsidP="00010450">
      <w:pPr>
        <w:spacing w:after="0" w:line="240" w:lineRule="auto"/>
        <w:ind w:right="22"/>
        <w:contextualSpacing/>
        <w:jc w:val="both"/>
        <w:rPr>
          <w:rFonts w:ascii="Arial" w:hAnsi="Arial" w:cs="Arial"/>
        </w:rPr>
      </w:pPr>
    </w:p>
    <w:p w14:paraId="78868CAA" w14:textId="77777777" w:rsidR="00010450" w:rsidRDefault="00010450" w:rsidP="00010450">
      <w:pPr>
        <w:spacing w:after="0" w:line="240" w:lineRule="auto"/>
        <w:ind w:right="22"/>
        <w:contextualSpacing/>
        <w:jc w:val="both"/>
        <w:rPr>
          <w:rFonts w:ascii="Arial" w:hAnsi="Arial" w:cs="Arial"/>
        </w:rPr>
      </w:pPr>
    </w:p>
    <w:p w14:paraId="5CCF439A" w14:textId="77777777" w:rsidR="00010450" w:rsidRPr="003867A4" w:rsidRDefault="00010450" w:rsidP="00010450">
      <w:pPr>
        <w:spacing w:after="0" w:line="240" w:lineRule="auto"/>
        <w:ind w:right="22"/>
        <w:contextualSpacing/>
        <w:jc w:val="both"/>
        <w:rPr>
          <w:rFonts w:ascii="Arial" w:hAnsi="Arial" w:cs="Arial"/>
        </w:rPr>
      </w:pPr>
    </w:p>
    <w:p w14:paraId="16614FE0" w14:textId="77777777" w:rsidR="00010450" w:rsidRPr="003867A4" w:rsidRDefault="00010450" w:rsidP="00010450">
      <w:pPr>
        <w:spacing w:after="0" w:line="240" w:lineRule="auto"/>
        <w:ind w:right="22"/>
        <w:contextualSpacing/>
        <w:jc w:val="both"/>
        <w:rPr>
          <w:rFonts w:ascii="Arial" w:hAnsi="Arial" w:cs="Arial"/>
        </w:rPr>
      </w:pPr>
      <w:bookmarkStart w:id="91" w:name="_GoBack"/>
      <w:bookmarkEnd w:id="91"/>
    </w:p>
    <w:p w14:paraId="2E42118D" w14:textId="77777777" w:rsidR="00010450" w:rsidRPr="0053763F" w:rsidRDefault="00010450" w:rsidP="00010450">
      <w:pPr>
        <w:spacing w:after="0" w:line="240" w:lineRule="auto"/>
        <w:ind w:right="23"/>
        <w:contextualSpacing/>
        <w:jc w:val="center"/>
        <w:rPr>
          <w:rFonts w:ascii="Arial" w:hAnsi="Arial" w:cs="Arial"/>
        </w:rPr>
      </w:pPr>
    </w:p>
    <w:p w14:paraId="37A82B82" w14:textId="77777777" w:rsidR="00010450" w:rsidRPr="0053763F" w:rsidRDefault="00010450" w:rsidP="00010450">
      <w:pPr>
        <w:spacing w:after="0" w:line="240" w:lineRule="auto"/>
        <w:ind w:right="23"/>
        <w:contextualSpacing/>
        <w:jc w:val="center"/>
        <w:rPr>
          <w:rFonts w:ascii="Arial" w:hAnsi="Arial" w:cs="Arial"/>
        </w:rPr>
      </w:pPr>
      <w:r w:rsidRPr="0053763F">
        <w:rPr>
          <w:rFonts w:ascii="Arial" w:hAnsi="Arial" w:cs="Arial"/>
        </w:rPr>
        <w:t>Ronald Fernández Romero</w:t>
      </w:r>
    </w:p>
    <w:p w14:paraId="4999F989" w14:textId="77777777" w:rsidR="00010450" w:rsidRPr="0053763F" w:rsidRDefault="00010450" w:rsidP="00010450">
      <w:pPr>
        <w:spacing w:after="0" w:line="240" w:lineRule="auto"/>
        <w:ind w:right="23"/>
        <w:contextualSpacing/>
        <w:jc w:val="center"/>
        <w:rPr>
          <w:rFonts w:ascii="Arial" w:hAnsi="Arial" w:cs="Arial"/>
          <w:b/>
          <w:bCs/>
        </w:rPr>
      </w:pPr>
      <w:r w:rsidRPr="0053763F">
        <w:rPr>
          <w:rFonts w:ascii="Arial" w:hAnsi="Arial" w:cs="Arial"/>
          <w:b/>
          <w:bCs/>
        </w:rPr>
        <w:t xml:space="preserve">Director </w:t>
      </w:r>
    </w:p>
    <w:p w14:paraId="3306D868" w14:textId="77777777" w:rsidR="00010450" w:rsidRPr="0094691A" w:rsidRDefault="00010450" w:rsidP="00010450">
      <w:pPr>
        <w:spacing w:after="0" w:line="240" w:lineRule="auto"/>
        <w:ind w:right="22"/>
        <w:contextualSpacing/>
        <w:jc w:val="center"/>
        <w:rPr>
          <w:rFonts w:ascii="Arial" w:hAnsi="Arial" w:cs="Arial"/>
          <w:b/>
          <w:bCs/>
        </w:rPr>
      </w:pPr>
    </w:p>
    <w:p w14:paraId="28A8ED3E" w14:textId="77777777" w:rsidR="00010450" w:rsidRPr="00AD3A5A" w:rsidRDefault="00010450" w:rsidP="00010450">
      <w:pPr>
        <w:spacing w:after="0" w:line="240" w:lineRule="auto"/>
        <w:ind w:right="22"/>
        <w:contextualSpacing/>
        <w:jc w:val="center"/>
        <w:rPr>
          <w:rFonts w:ascii="Arial" w:hAnsi="Arial" w:cs="Arial"/>
          <w:b/>
          <w:bCs/>
        </w:rPr>
      </w:pPr>
    </w:p>
    <w:p w14:paraId="73A226BB" w14:textId="77777777" w:rsidR="00010450" w:rsidRPr="00B104C0" w:rsidRDefault="00010450" w:rsidP="00010450">
      <w:pPr>
        <w:spacing w:after="0" w:line="240" w:lineRule="auto"/>
        <w:ind w:right="22"/>
        <w:contextualSpacing/>
        <w:jc w:val="center"/>
        <w:rPr>
          <w:rFonts w:ascii="Arial" w:hAnsi="Arial" w:cs="Arial"/>
          <w:b/>
          <w:bCs/>
        </w:rPr>
      </w:pPr>
    </w:p>
    <w:tbl>
      <w:tblPr>
        <w:tblStyle w:val="Tablaconcuadrcula"/>
        <w:tblpPr w:leftFromText="141" w:rightFromText="141" w:vertAnchor="text" w:horzAnchor="margin" w:tblpXSpec="center"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544"/>
      </w:tblGrid>
      <w:tr w:rsidR="00010450" w:rsidRPr="009F0073" w14:paraId="7932225B" w14:textId="77777777" w:rsidTr="00F27C25">
        <w:tc>
          <w:tcPr>
            <w:tcW w:w="3260" w:type="dxa"/>
          </w:tcPr>
          <w:p w14:paraId="2EB4D184" w14:textId="77777777" w:rsidR="00010450" w:rsidRPr="009F0073" w:rsidRDefault="00010450" w:rsidP="00F27C25">
            <w:pPr>
              <w:contextualSpacing/>
              <w:jc w:val="both"/>
              <w:rPr>
                <w:rFonts w:ascii="Arial" w:hAnsi="Arial" w:cs="Arial"/>
                <w:sz w:val="20"/>
              </w:rPr>
            </w:pPr>
            <w:bookmarkStart w:id="92" w:name="_Hlk77247682"/>
          </w:p>
          <w:p w14:paraId="69D678E9" w14:textId="77777777" w:rsidR="00010450" w:rsidRPr="009F0073" w:rsidRDefault="00010450" w:rsidP="00F27C25">
            <w:pPr>
              <w:contextualSpacing/>
              <w:jc w:val="both"/>
              <w:rPr>
                <w:rFonts w:ascii="Arial" w:hAnsi="Arial" w:cs="Arial"/>
                <w:sz w:val="20"/>
              </w:rPr>
            </w:pPr>
          </w:p>
          <w:p w14:paraId="63E9792E" w14:textId="77777777" w:rsidR="00010450" w:rsidRPr="009F0073" w:rsidRDefault="00010450" w:rsidP="00F27C25">
            <w:pPr>
              <w:contextualSpacing/>
              <w:jc w:val="both"/>
              <w:rPr>
                <w:rFonts w:ascii="Arial" w:hAnsi="Arial" w:cs="Arial"/>
                <w:sz w:val="20"/>
              </w:rPr>
            </w:pPr>
          </w:p>
        </w:tc>
        <w:tc>
          <w:tcPr>
            <w:tcW w:w="3544" w:type="dxa"/>
          </w:tcPr>
          <w:p w14:paraId="0EDAC131" w14:textId="77777777" w:rsidR="00010450" w:rsidRPr="009F0073" w:rsidRDefault="00010450" w:rsidP="00F27C25">
            <w:pPr>
              <w:contextualSpacing/>
              <w:jc w:val="both"/>
              <w:rPr>
                <w:rFonts w:ascii="Arial" w:hAnsi="Arial" w:cs="Arial"/>
                <w:sz w:val="20"/>
              </w:rPr>
            </w:pPr>
          </w:p>
        </w:tc>
      </w:tr>
      <w:tr w:rsidR="00010450" w:rsidRPr="009F0073" w14:paraId="727C3997" w14:textId="77777777" w:rsidTr="00F27C25">
        <w:tc>
          <w:tcPr>
            <w:tcW w:w="3260" w:type="dxa"/>
          </w:tcPr>
          <w:p w14:paraId="135CE7AF" w14:textId="77777777" w:rsidR="00010450" w:rsidRDefault="00010450" w:rsidP="00F27C25">
            <w:pPr>
              <w:contextualSpacing/>
              <w:jc w:val="center"/>
              <w:rPr>
                <w:rFonts w:ascii="Arial" w:hAnsi="Arial" w:cs="Arial"/>
                <w:sz w:val="20"/>
              </w:rPr>
            </w:pPr>
            <w:r w:rsidRPr="00522760">
              <w:rPr>
                <w:rFonts w:ascii="Arial" w:hAnsi="Arial" w:cs="Arial"/>
                <w:sz w:val="20"/>
              </w:rPr>
              <w:t>Rebeca Cover López</w:t>
            </w:r>
          </w:p>
          <w:p w14:paraId="6E30EA54" w14:textId="77777777" w:rsidR="00010450" w:rsidRPr="00522760" w:rsidRDefault="00010450" w:rsidP="00F27C25">
            <w:pPr>
              <w:contextualSpacing/>
              <w:jc w:val="center"/>
              <w:rPr>
                <w:rFonts w:ascii="Arial" w:hAnsi="Arial" w:cs="Arial"/>
                <w:b/>
                <w:sz w:val="20"/>
              </w:rPr>
            </w:pPr>
            <w:r w:rsidRPr="00522760">
              <w:rPr>
                <w:rFonts w:ascii="Arial" w:hAnsi="Arial" w:cs="Arial"/>
                <w:b/>
                <w:sz w:val="20"/>
              </w:rPr>
              <w:t xml:space="preserve">Profesional de Auditoría Interna </w:t>
            </w:r>
          </w:p>
          <w:p w14:paraId="659A9CD6" w14:textId="77777777" w:rsidR="00010450" w:rsidRPr="00841A7F" w:rsidRDefault="00010450" w:rsidP="00F27C25">
            <w:pPr>
              <w:contextualSpacing/>
              <w:jc w:val="center"/>
              <w:rPr>
                <w:rFonts w:ascii="Arial" w:hAnsi="Arial" w:cs="Arial"/>
                <w:b/>
                <w:sz w:val="20"/>
              </w:rPr>
            </w:pPr>
            <w:r w:rsidRPr="00841A7F">
              <w:rPr>
                <w:rFonts w:ascii="Arial" w:hAnsi="Arial" w:cs="Arial"/>
                <w:b/>
                <w:sz w:val="20"/>
              </w:rPr>
              <w:t>Unidad de Auditoría de Servicios Corporativos</w:t>
            </w:r>
          </w:p>
          <w:p w14:paraId="777FB58D" w14:textId="77777777" w:rsidR="00010450" w:rsidRPr="009F0073" w:rsidRDefault="00010450" w:rsidP="00F27C25">
            <w:pPr>
              <w:contextualSpacing/>
              <w:jc w:val="center"/>
              <w:rPr>
                <w:rFonts w:ascii="Arial" w:hAnsi="Arial" w:cs="Arial"/>
                <w:sz w:val="20"/>
              </w:rPr>
            </w:pPr>
          </w:p>
        </w:tc>
        <w:tc>
          <w:tcPr>
            <w:tcW w:w="3544" w:type="dxa"/>
          </w:tcPr>
          <w:p w14:paraId="7964CD11" w14:textId="77777777" w:rsidR="00010450" w:rsidRPr="009F0073" w:rsidRDefault="00010450" w:rsidP="00F27C25">
            <w:pPr>
              <w:contextualSpacing/>
              <w:jc w:val="center"/>
              <w:rPr>
                <w:rFonts w:ascii="Arial" w:hAnsi="Arial" w:cs="Arial"/>
                <w:sz w:val="20"/>
              </w:rPr>
            </w:pPr>
            <w:r>
              <w:rPr>
                <w:rFonts w:ascii="Arial" w:hAnsi="Arial" w:cs="Arial"/>
                <w:sz w:val="20"/>
              </w:rPr>
              <w:t>Xinia R. López Corella</w:t>
            </w:r>
          </w:p>
          <w:p w14:paraId="2B1C0647" w14:textId="77777777" w:rsidR="00010450" w:rsidRDefault="00010450" w:rsidP="00F27C25">
            <w:pPr>
              <w:contextualSpacing/>
              <w:jc w:val="center"/>
              <w:rPr>
                <w:rFonts w:ascii="Arial" w:hAnsi="Arial" w:cs="Arial"/>
                <w:b/>
                <w:sz w:val="20"/>
              </w:rPr>
            </w:pPr>
            <w:r w:rsidRPr="00841A7F">
              <w:rPr>
                <w:rFonts w:ascii="Arial" w:hAnsi="Arial" w:cs="Arial"/>
                <w:b/>
                <w:sz w:val="20"/>
              </w:rPr>
              <w:t xml:space="preserve">Coordinadora </w:t>
            </w:r>
          </w:p>
          <w:p w14:paraId="6D29AA6E" w14:textId="77777777" w:rsidR="00010450" w:rsidRPr="00841A7F" w:rsidRDefault="00010450" w:rsidP="00F27C25">
            <w:pPr>
              <w:contextualSpacing/>
              <w:jc w:val="center"/>
              <w:rPr>
                <w:rFonts w:ascii="Arial" w:hAnsi="Arial" w:cs="Arial"/>
                <w:b/>
                <w:sz w:val="20"/>
              </w:rPr>
            </w:pPr>
            <w:r w:rsidRPr="00841A7F">
              <w:rPr>
                <w:rFonts w:ascii="Arial" w:hAnsi="Arial" w:cs="Arial"/>
                <w:b/>
                <w:sz w:val="20"/>
              </w:rPr>
              <w:t xml:space="preserve">Unidad de Auditoría de Servicios Corporativos </w:t>
            </w:r>
          </w:p>
        </w:tc>
      </w:tr>
      <w:bookmarkEnd w:id="92"/>
    </w:tbl>
    <w:p w14:paraId="22BA4AF8" w14:textId="77777777" w:rsidR="00010450" w:rsidRDefault="00010450" w:rsidP="00010450">
      <w:pPr>
        <w:spacing w:after="0" w:line="240" w:lineRule="auto"/>
        <w:ind w:right="22"/>
        <w:contextualSpacing/>
        <w:jc w:val="center"/>
        <w:rPr>
          <w:rFonts w:ascii="Arial" w:hAnsi="Arial" w:cs="Arial"/>
          <w:b/>
          <w:bCs/>
        </w:rPr>
      </w:pPr>
    </w:p>
    <w:p w14:paraId="5FDAE256" w14:textId="77777777" w:rsidR="00010450" w:rsidRDefault="00010450" w:rsidP="00010450">
      <w:pPr>
        <w:spacing w:after="0" w:line="240" w:lineRule="auto"/>
        <w:ind w:right="22"/>
        <w:contextualSpacing/>
        <w:jc w:val="center"/>
        <w:rPr>
          <w:rFonts w:ascii="Arial" w:hAnsi="Arial" w:cs="Arial"/>
        </w:rPr>
      </w:pPr>
    </w:p>
    <w:p w14:paraId="6B29D9B4" w14:textId="77777777" w:rsidR="00010450" w:rsidRPr="00B85B62" w:rsidRDefault="00010450" w:rsidP="00010450">
      <w:pPr>
        <w:spacing w:after="0" w:line="240" w:lineRule="auto"/>
        <w:ind w:right="22"/>
        <w:contextualSpacing/>
        <w:jc w:val="center"/>
        <w:rPr>
          <w:rFonts w:ascii="Arial" w:hAnsi="Arial" w:cs="Arial"/>
        </w:rPr>
      </w:pPr>
    </w:p>
    <w:p w14:paraId="3F91ADC6" w14:textId="77777777" w:rsidR="002155D4" w:rsidRPr="0043627B" w:rsidRDefault="002155D4" w:rsidP="002155D4">
      <w:pPr>
        <w:spacing w:after="0" w:line="240" w:lineRule="auto"/>
        <w:ind w:right="23"/>
        <w:contextualSpacing/>
        <w:jc w:val="both"/>
        <w:rPr>
          <w:rFonts w:ascii="Arial" w:hAnsi="Arial" w:cs="Arial"/>
          <w:sz w:val="24"/>
          <w:szCs w:val="24"/>
        </w:rPr>
      </w:pPr>
    </w:p>
    <w:p w14:paraId="52C4679C" w14:textId="77777777" w:rsidR="0055222A" w:rsidRPr="0043627B" w:rsidRDefault="0055222A" w:rsidP="00E03114">
      <w:pPr>
        <w:spacing w:after="0" w:line="240" w:lineRule="auto"/>
        <w:ind w:right="23"/>
        <w:contextualSpacing/>
        <w:jc w:val="both"/>
        <w:rPr>
          <w:rFonts w:ascii="Arial" w:hAnsi="Arial" w:cs="Arial"/>
          <w:sz w:val="24"/>
          <w:szCs w:val="24"/>
        </w:rPr>
      </w:pPr>
    </w:p>
    <w:p w14:paraId="53C7ADFA" w14:textId="77777777" w:rsidR="00B835C7" w:rsidRDefault="00B835C7" w:rsidP="00E03114">
      <w:pPr>
        <w:spacing w:after="0" w:line="240" w:lineRule="auto"/>
        <w:ind w:right="-142"/>
        <w:contextualSpacing/>
        <w:jc w:val="both"/>
        <w:rPr>
          <w:rFonts w:ascii="Arial" w:hAnsi="Arial" w:cs="Arial"/>
          <w:sz w:val="16"/>
          <w:szCs w:val="16"/>
        </w:rPr>
      </w:pPr>
    </w:p>
    <w:p w14:paraId="2E6A35A6" w14:textId="77777777" w:rsidR="00010450" w:rsidRDefault="00010450" w:rsidP="00E03114">
      <w:pPr>
        <w:spacing w:after="0" w:line="240" w:lineRule="auto"/>
        <w:ind w:right="-142"/>
        <w:contextualSpacing/>
        <w:jc w:val="both"/>
        <w:rPr>
          <w:rFonts w:ascii="Arial" w:hAnsi="Arial" w:cs="Arial"/>
          <w:sz w:val="16"/>
          <w:szCs w:val="16"/>
        </w:rPr>
      </w:pPr>
    </w:p>
    <w:p w14:paraId="3B98F560" w14:textId="77777777" w:rsidR="00010450" w:rsidRDefault="00010450" w:rsidP="00E03114">
      <w:pPr>
        <w:spacing w:after="0" w:line="240" w:lineRule="auto"/>
        <w:ind w:right="-142"/>
        <w:contextualSpacing/>
        <w:jc w:val="both"/>
        <w:rPr>
          <w:rFonts w:ascii="Arial" w:hAnsi="Arial" w:cs="Arial"/>
          <w:sz w:val="16"/>
          <w:szCs w:val="16"/>
        </w:rPr>
      </w:pPr>
    </w:p>
    <w:p w14:paraId="760A3612" w14:textId="77777777" w:rsidR="00010450" w:rsidRDefault="00010450" w:rsidP="00E03114">
      <w:pPr>
        <w:spacing w:after="0" w:line="240" w:lineRule="auto"/>
        <w:ind w:right="-142"/>
        <w:contextualSpacing/>
        <w:jc w:val="both"/>
        <w:rPr>
          <w:rFonts w:ascii="Arial" w:hAnsi="Arial" w:cs="Arial"/>
          <w:sz w:val="16"/>
          <w:szCs w:val="16"/>
        </w:rPr>
      </w:pPr>
    </w:p>
    <w:p w14:paraId="00C93459" w14:textId="77777777" w:rsidR="00010450" w:rsidRDefault="00010450" w:rsidP="00E03114">
      <w:pPr>
        <w:spacing w:after="0" w:line="240" w:lineRule="auto"/>
        <w:ind w:right="-142"/>
        <w:contextualSpacing/>
        <w:jc w:val="both"/>
        <w:rPr>
          <w:rFonts w:ascii="Arial" w:hAnsi="Arial" w:cs="Arial"/>
          <w:sz w:val="16"/>
          <w:szCs w:val="16"/>
        </w:rPr>
      </w:pPr>
    </w:p>
    <w:p w14:paraId="41E9EBB6" w14:textId="77777777" w:rsidR="00010450" w:rsidRDefault="00010450" w:rsidP="00E03114">
      <w:pPr>
        <w:spacing w:after="0" w:line="240" w:lineRule="auto"/>
        <w:ind w:right="-142"/>
        <w:contextualSpacing/>
        <w:jc w:val="both"/>
        <w:rPr>
          <w:rFonts w:ascii="Arial" w:hAnsi="Arial" w:cs="Arial"/>
          <w:sz w:val="16"/>
          <w:szCs w:val="16"/>
        </w:rPr>
      </w:pPr>
    </w:p>
    <w:p w14:paraId="4604737E" w14:textId="77777777" w:rsidR="0055222A" w:rsidRPr="00604B61" w:rsidRDefault="0055222A" w:rsidP="00E03114">
      <w:pPr>
        <w:spacing w:after="0" w:line="240" w:lineRule="auto"/>
        <w:ind w:right="-142"/>
        <w:contextualSpacing/>
        <w:jc w:val="both"/>
        <w:rPr>
          <w:rFonts w:ascii="Arial" w:hAnsi="Arial" w:cs="Arial"/>
          <w:sz w:val="16"/>
          <w:szCs w:val="16"/>
        </w:rPr>
      </w:pPr>
      <w:r w:rsidRPr="00604B61">
        <w:rPr>
          <w:rFonts w:ascii="Arial" w:hAnsi="Arial" w:cs="Arial"/>
          <w:sz w:val="16"/>
          <w:szCs w:val="16"/>
        </w:rPr>
        <w:t xml:space="preserve">Estudio </w:t>
      </w:r>
      <w:r w:rsidR="004670B3" w:rsidRPr="00604B61">
        <w:rPr>
          <w:rFonts w:ascii="Arial" w:hAnsi="Arial" w:cs="Arial"/>
          <w:sz w:val="16"/>
          <w:szCs w:val="16"/>
        </w:rPr>
        <w:t>N.º</w:t>
      </w:r>
      <w:r w:rsidRPr="00604B61">
        <w:rPr>
          <w:rFonts w:ascii="Arial" w:hAnsi="Arial" w:cs="Arial"/>
          <w:sz w:val="16"/>
          <w:szCs w:val="16"/>
        </w:rPr>
        <w:t xml:space="preserve"> 0</w:t>
      </w:r>
      <w:r w:rsidR="002155D4">
        <w:rPr>
          <w:rFonts w:ascii="Arial" w:hAnsi="Arial" w:cs="Arial"/>
          <w:sz w:val="16"/>
          <w:szCs w:val="16"/>
        </w:rPr>
        <w:t>3</w:t>
      </w:r>
      <w:r w:rsidR="00D85ADA">
        <w:rPr>
          <w:rFonts w:ascii="Arial" w:hAnsi="Arial" w:cs="Arial"/>
          <w:sz w:val="16"/>
          <w:szCs w:val="16"/>
        </w:rPr>
        <w:t>0</w:t>
      </w:r>
      <w:r w:rsidRPr="00604B61">
        <w:rPr>
          <w:rFonts w:ascii="Arial" w:hAnsi="Arial" w:cs="Arial"/>
          <w:sz w:val="16"/>
          <w:szCs w:val="16"/>
        </w:rPr>
        <w:t>-202</w:t>
      </w:r>
      <w:r w:rsidR="00C27423">
        <w:rPr>
          <w:rFonts w:ascii="Arial" w:hAnsi="Arial" w:cs="Arial"/>
          <w:sz w:val="16"/>
          <w:szCs w:val="16"/>
        </w:rPr>
        <w:t>2</w:t>
      </w:r>
    </w:p>
    <w:p w14:paraId="33CF8DED" w14:textId="06BB30B5" w:rsidR="00D85ADA" w:rsidRDefault="0055222A" w:rsidP="00D85ADA">
      <w:pPr>
        <w:spacing w:after="0" w:line="240" w:lineRule="auto"/>
        <w:ind w:right="23"/>
        <w:contextualSpacing/>
        <w:jc w:val="both"/>
        <w:rPr>
          <w:rFonts w:ascii="Arial" w:hAnsi="Arial" w:cs="Arial"/>
          <w:color w:val="242424"/>
          <w:sz w:val="16"/>
          <w:szCs w:val="16"/>
          <w:shd w:val="clear" w:color="auto" w:fill="FFFFFF"/>
        </w:rPr>
      </w:pPr>
      <w:r w:rsidRPr="0013779D">
        <w:rPr>
          <w:rFonts w:ascii="Arial" w:hAnsi="Arial" w:cs="Arial"/>
          <w:sz w:val="16"/>
          <w:szCs w:val="16"/>
        </w:rPr>
        <w:t xml:space="preserve">Criterio </w:t>
      </w:r>
      <w:r w:rsidR="00D47A53" w:rsidRPr="0013779D">
        <w:rPr>
          <w:rFonts w:ascii="Arial" w:hAnsi="Arial" w:cs="Arial"/>
          <w:color w:val="242424"/>
          <w:sz w:val="16"/>
          <w:szCs w:val="16"/>
          <w:shd w:val="clear" w:color="auto" w:fill="FFFFFF"/>
        </w:rPr>
        <w:t xml:space="preserve">N° </w:t>
      </w:r>
      <w:r w:rsidR="00E10F27">
        <w:rPr>
          <w:rFonts w:ascii="Arial" w:hAnsi="Arial" w:cs="Arial"/>
          <w:color w:val="242424"/>
          <w:sz w:val="16"/>
          <w:szCs w:val="16"/>
          <w:shd w:val="clear" w:color="auto" w:fill="FFFFFF"/>
        </w:rPr>
        <w:t>91-Gestión de Riesgos</w:t>
      </w:r>
    </w:p>
    <w:p w14:paraId="3C849F2E"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46DB78A2"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6CAFBF48"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2D4A2498"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106AA361"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660A70A4"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39902A75"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6AB98D0A" w14:textId="77777777" w:rsidR="00D85ADA" w:rsidRDefault="00D85ADA" w:rsidP="00D85ADA">
      <w:pPr>
        <w:spacing w:after="0" w:line="240" w:lineRule="auto"/>
        <w:ind w:right="23"/>
        <w:contextualSpacing/>
        <w:jc w:val="both"/>
        <w:rPr>
          <w:rFonts w:ascii="Arial" w:hAnsi="Arial" w:cs="Arial"/>
          <w:b/>
          <w:bCs/>
          <w:color w:val="44546A"/>
          <w:sz w:val="24"/>
          <w:szCs w:val="24"/>
        </w:rPr>
      </w:pPr>
    </w:p>
    <w:p w14:paraId="6B649DDC" w14:textId="77777777" w:rsidR="0055222A" w:rsidRDefault="0055222A" w:rsidP="00D85ADA">
      <w:pPr>
        <w:spacing w:after="0" w:line="240" w:lineRule="auto"/>
        <w:ind w:right="23"/>
        <w:contextualSpacing/>
        <w:jc w:val="center"/>
        <w:rPr>
          <w:rFonts w:ascii="Arial" w:hAnsi="Arial" w:cs="Arial"/>
          <w:b/>
          <w:bCs/>
          <w:color w:val="44546A"/>
          <w:sz w:val="24"/>
          <w:szCs w:val="24"/>
        </w:rPr>
      </w:pPr>
      <w:r w:rsidRPr="0030748B">
        <w:rPr>
          <w:rFonts w:ascii="Arial" w:hAnsi="Arial" w:cs="Arial"/>
          <w:b/>
          <w:bCs/>
          <w:color w:val="44546A"/>
          <w:sz w:val="24"/>
          <w:szCs w:val="24"/>
        </w:rPr>
        <w:t>ANEXO N°1</w:t>
      </w:r>
    </w:p>
    <w:p w14:paraId="0E08E9FA" w14:textId="77777777" w:rsidR="001C618B" w:rsidRPr="0030748B" w:rsidRDefault="001C618B" w:rsidP="00E03114">
      <w:pPr>
        <w:autoSpaceDE w:val="0"/>
        <w:autoSpaceDN w:val="0"/>
        <w:adjustRightInd w:val="0"/>
        <w:spacing w:after="0" w:line="240" w:lineRule="auto"/>
        <w:contextualSpacing/>
        <w:jc w:val="center"/>
        <w:rPr>
          <w:rFonts w:ascii="Arial" w:hAnsi="Arial" w:cs="Arial"/>
          <w:b/>
          <w:bCs/>
          <w:color w:val="44546A"/>
          <w:sz w:val="24"/>
          <w:szCs w:val="24"/>
        </w:rPr>
      </w:pPr>
    </w:p>
    <w:p w14:paraId="0704C26A" w14:textId="77777777" w:rsidR="0055222A" w:rsidRPr="0030748B" w:rsidRDefault="0055222A" w:rsidP="00E03114">
      <w:pPr>
        <w:autoSpaceDE w:val="0"/>
        <w:autoSpaceDN w:val="0"/>
        <w:adjustRightInd w:val="0"/>
        <w:spacing w:after="0" w:line="240" w:lineRule="auto"/>
        <w:contextualSpacing/>
        <w:jc w:val="center"/>
        <w:rPr>
          <w:rFonts w:ascii="Arial" w:hAnsi="Arial" w:cs="Arial"/>
          <w:b/>
          <w:bCs/>
          <w:color w:val="44546A"/>
          <w:sz w:val="24"/>
          <w:szCs w:val="24"/>
        </w:rPr>
      </w:pPr>
      <w:r w:rsidRPr="0030748B">
        <w:rPr>
          <w:rFonts w:ascii="Arial" w:hAnsi="Arial" w:cs="Arial"/>
          <w:b/>
          <w:bCs/>
          <w:color w:val="44546A"/>
          <w:sz w:val="24"/>
          <w:szCs w:val="24"/>
        </w:rPr>
        <w:t xml:space="preserve">COMENTARIOS RECIBIDOS DURANTE LA COMUNICACIÓN DE RESULTADOS </w:t>
      </w:r>
    </w:p>
    <w:p w14:paraId="5CA2FE86" w14:textId="77777777" w:rsidR="0055222A" w:rsidRPr="0043627B" w:rsidRDefault="0055222A" w:rsidP="00E03114">
      <w:pPr>
        <w:autoSpaceDE w:val="0"/>
        <w:autoSpaceDN w:val="0"/>
        <w:adjustRightInd w:val="0"/>
        <w:spacing w:after="0" w:line="240" w:lineRule="auto"/>
        <w:contextualSpacing/>
        <w:jc w:val="center"/>
        <w:rPr>
          <w:rFonts w:ascii="Arial" w:hAnsi="Arial" w:cs="Arial"/>
          <w:b/>
          <w:bCs/>
          <w:color w:val="000000"/>
          <w:sz w:val="24"/>
          <w:szCs w:val="24"/>
        </w:rPr>
      </w:pPr>
    </w:p>
    <w:tbl>
      <w:tblPr>
        <w:tblW w:w="0" w:type="auto"/>
        <w:tblCellMar>
          <w:left w:w="0" w:type="dxa"/>
          <w:right w:w="0" w:type="dxa"/>
        </w:tblCellMar>
        <w:tblLook w:val="04A0" w:firstRow="1" w:lastRow="0" w:firstColumn="1" w:lastColumn="0" w:noHBand="0" w:noVBand="1"/>
      </w:tblPr>
      <w:tblGrid>
        <w:gridCol w:w="4313"/>
        <w:gridCol w:w="4314"/>
      </w:tblGrid>
      <w:tr w:rsidR="0055222A" w:rsidRPr="0043627B" w14:paraId="06186C48" w14:textId="77777777" w:rsidTr="004C32CB">
        <w:tc>
          <w:tcPr>
            <w:tcW w:w="4313"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740B4659" w14:textId="77777777" w:rsidR="0055222A" w:rsidRPr="00261CAB" w:rsidRDefault="0055222A" w:rsidP="00E03114">
            <w:pPr>
              <w:spacing w:after="0" w:line="240" w:lineRule="auto"/>
              <w:contextualSpacing/>
              <w:jc w:val="center"/>
              <w:rPr>
                <w:rFonts w:ascii="Arial" w:hAnsi="Arial" w:cs="Arial"/>
                <w:b/>
                <w:bCs/>
                <w:lang w:eastAsia="es-CR"/>
              </w:rPr>
            </w:pPr>
            <w:r w:rsidRPr="00261CAB">
              <w:rPr>
                <w:rFonts w:ascii="Arial" w:hAnsi="Arial" w:cs="Arial"/>
                <w:b/>
                <w:bCs/>
                <w:lang w:eastAsia="es-CR"/>
              </w:rPr>
              <w:t>Comentarios</w:t>
            </w:r>
          </w:p>
        </w:tc>
        <w:tc>
          <w:tcPr>
            <w:tcW w:w="4314"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6F96C535" w14:textId="77777777" w:rsidR="0055222A" w:rsidRPr="00261CAB" w:rsidRDefault="0055222A" w:rsidP="00E03114">
            <w:pPr>
              <w:spacing w:after="0" w:line="240" w:lineRule="auto"/>
              <w:contextualSpacing/>
              <w:jc w:val="center"/>
              <w:rPr>
                <w:rFonts w:ascii="Arial" w:eastAsia="Calibri" w:hAnsi="Arial" w:cs="Arial"/>
                <w:b/>
                <w:bCs/>
                <w:lang w:eastAsia="es-CR"/>
              </w:rPr>
            </w:pPr>
            <w:r w:rsidRPr="00261CAB">
              <w:rPr>
                <w:rFonts w:ascii="Arial" w:hAnsi="Arial" w:cs="Arial"/>
                <w:b/>
                <w:bCs/>
                <w:lang w:eastAsia="es-CR"/>
              </w:rPr>
              <w:t>Valoración</w:t>
            </w:r>
          </w:p>
        </w:tc>
      </w:tr>
      <w:tr w:rsidR="0055222A" w:rsidRPr="0043627B" w14:paraId="3B0BDDE8" w14:textId="77777777" w:rsidTr="004C32CB">
        <w:tc>
          <w:tcPr>
            <w:tcW w:w="4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FEBA87" w14:textId="4D27298F" w:rsidR="0055222A" w:rsidRPr="00261CAB" w:rsidRDefault="009B5FC5" w:rsidP="00E03114">
            <w:pPr>
              <w:pStyle w:val="Default"/>
              <w:contextualSpacing/>
              <w:jc w:val="both"/>
              <w:rPr>
                <w:rFonts w:ascii="Arial" w:hAnsi="Arial" w:cs="Arial"/>
                <w:bCs/>
                <w:sz w:val="22"/>
                <w:szCs w:val="22"/>
              </w:rPr>
            </w:pPr>
            <w:r w:rsidRPr="009B5FC5">
              <w:rPr>
                <w:rFonts w:ascii="Arial" w:hAnsi="Arial" w:cs="Arial"/>
                <w:bCs/>
                <w:sz w:val="22"/>
                <w:szCs w:val="22"/>
              </w:rPr>
              <w:t>En cuanto al resultado 2.1.1 “Sobre la necesidad unificar los documentos que conforman el Marco orientador del SEVRI en el Ministerio de Hacienda”, se</w:t>
            </w:r>
            <w:r>
              <w:rPr>
                <w:rFonts w:ascii="Arial" w:hAnsi="Arial" w:cs="Arial"/>
                <w:bCs/>
                <w:sz w:val="22"/>
                <w:szCs w:val="22"/>
              </w:rPr>
              <w:t xml:space="preserve"> solicita </w:t>
            </w:r>
            <w:r w:rsidRPr="009B5FC5">
              <w:rPr>
                <w:rFonts w:ascii="Arial" w:hAnsi="Arial" w:cs="Arial"/>
                <w:bCs/>
                <w:sz w:val="22"/>
                <w:szCs w:val="22"/>
              </w:rPr>
              <w:t>establecer el siguiente plazo para atender la recomendación: 31 de mayo 2023.</w:t>
            </w:r>
          </w:p>
        </w:tc>
        <w:tc>
          <w:tcPr>
            <w:tcW w:w="43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B57D3B" w14:textId="77777777" w:rsidR="009B5FC5" w:rsidRPr="009B5FC5" w:rsidRDefault="009B5FC5" w:rsidP="009B5FC5">
            <w:pPr>
              <w:spacing w:after="0" w:line="240" w:lineRule="auto"/>
              <w:contextualSpacing/>
              <w:jc w:val="both"/>
              <w:rPr>
                <w:rFonts w:ascii="Arial" w:hAnsi="Arial" w:cs="Arial"/>
                <w:bCs/>
                <w:lang w:eastAsia="es-CR"/>
              </w:rPr>
            </w:pPr>
            <w:r w:rsidRPr="009B5FC5">
              <w:rPr>
                <w:rFonts w:ascii="Arial" w:hAnsi="Arial" w:cs="Arial"/>
                <w:bCs/>
                <w:lang w:eastAsia="es-CR"/>
              </w:rPr>
              <w:t>Al respecto, la Auditoría Interna está de</w:t>
            </w:r>
          </w:p>
          <w:p w14:paraId="5891FABA" w14:textId="77777777" w:rsidR="009B5FC5" w:rsidRPr="009B5FC5" w:rsidRDefault="009B5FC5" w:rsidP="009B5FC5">
            <w:pPr>
              <w:spacing w:after="0" w:line="240" w:lineRule="auto"/>
              <w:contextualSpacing/>
              <w:jc w:val="both"/>
              <w:rPr>
                <w:rFonts w:ascii="Arial" w:hAnsi="Arial" w:cs="Arial"/>
                <w:bCs/>
                <w:lang w:eastAsia="es-CR"/>
              </w:rPr>
            </w:pPr>
            <w:r w:rsidRPr="009B5FC5">
              <w:rPr>
                <w:rFonts w:ascii="Arial" w:hAnsi="Arial" w:cs="Arial"/>
                <w:bCs/>
                <w:lang w:eastAsia="es-CR"/>
              </w:rPr>
              <w:t>acuerdo en considerar el plazo establecido</w:t>
            </w:r>
            <w:r>
              <w:t xml:space="preserve"> </w:t>
            </w:r>
            <w:r w:rsidRPr="009B5FC5">
              <w:rPr>
                <w:rFonts w:ascii="Arial" w:hAnsi="Arial" w:cs="Arial"/>
                <w:bCs/>
                <w:lang w:eastAsia="es-CR"/>
              </w:rPr>
              <w:t>para atender la recomendación</w:t>
            </w:r>
            <w:r>
              <w:rPr>
                <w:rFonts w:ascii="Arial" w:hAnsi="Arial" w:cs="Arial"/>
                <w:bCs/>
                <w:lang w:eastAsia="es-CR"/>
              </w:rPr>
              <w:t>.</w:t>
            </w:r>
          </w:p>
          <w:p w14:paraId="5446CBF8" w14:textId="413CEA5E" w:rsidR="00562F1A" w:rsidRPr="00261CAB" w:rsidRDefault="00562F1A" w:rsidP="009B5FC5">
            <w:pPr>
              <w:pStyle w:val="Default"/>
              <w:contextualSpacing/>
              <w:jc w:val="both"/>
              <w:rPr>
                <w:rFonts w:ascii="Arial" w:hAnsi="Arial" w:cs="Arial"/>
                <w:bCs/>
                <w:sz w:val="22"/>
                <w:szCs w:val="22"/>
                <w:lang w:eastAsia="es-CR"/>
              </w:rPr>
            </w:pPr>
          </w:p>
        </w:tc>
      </w:tr>
      <w:tr w:rsidR="0055222A" w:rsidRPr="0043627B" w14:paraId="30008B44" w14:textId="77777777" w:rsidTr="004C32CB">
        <w:tc>
          <w:tcPr>
            <w:tcW w:w="4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1D6A95" w14:textId="03C64DC2" w:rsidR="009B5FC5" w:rsidRPr="009B5FC5" w:rsidRDefault="009B5FC5" w:rsidP="009B5FC5">
            <w:pPr>
              <w:autoSpaceDE w:val="0"/>
              <w:autoSpaceDN w:val="0"/>
              <w:adjustRightInd w:val="0"/>
              <w:spacing w:after="0" w:line="240" w:lineRule="auto"/>
              <w:contextualSpacing/>
              <w:jc w:val="both"/>
              <w:rPr>
                <w:rFonts w:ascii="Arial" w:hAnsi="Arial" w:cs="Arial"/>
                <w:bCs/>
                <w:color w:val="000000"/>
              </w:rPr>
            </w:pPr>
            <w:r w:rsidRPr="009B5FC5">
              <w:rPr>
                <w:rFonts w:ascii="Arial" w:hAnsi="Arial" w:cs="Arial"/>
                <w:bCs/>
                <w:color w:val="000000"/>
              </w:rPr>
              <w:t xml:space="preserve">En cuanto a los siguientes resultados se </w:t>
            </w:r>
            <w:r>
              <w:rPr>
                <w:rFonts w:ascii="Arial" w:hAnsi="Arial" w:cs="Arial"/>
                <w:bCs/>
                <w:color w:val="000000"/>
              </w:rPr>
              <w:t xml:space="preserve">solicita </w:t>
            </w:r>
            <w:r w:rsidRPr="009B5FC5">
              <w:rPr>
                <w:rFonts w:ascii="Arial" w:hAnsi="Arial" w:cs="Arial"/>
                <w:bCs/>
                <w:color w:val="000000"/>
              </w:rPr>
              <w:t>establece</w:t>
            </w:r>
            <w:r>
              <w:rPr>
                <w:rFonts w:ascii="Arial" w:hAnsi="Arial" w:cs="Arial"/>
                <w:bCs/>
                <w:color w:val="000000"/>
              </w:rPr>
              <w:t>r</w:t>
            </w:r>
            <w:r w:rsidRPr="009B5FC5">
              <w:rPr>
                <w:rFonts w:ascii="Arial" w:hAnsi="Arial" w:cs="Arial"/>
                <w:bCs/>
                <w:color w:val="000000"/>
              </w:rPr>
              <w:t xml:space="preserve"> el siguiente plazo para atender la recomendación: 30 de junio 2023.</w:t>
            </w:r>
          </w:p>
          <w:p w14:paraId="658EB8CF" w14:textId="77777777" w:rsidR="009B5FC5" w:rsidRPr="009B5FC5" w:rsidRDefault="009B5FC5" w:rsidP="009B5FC5">
            <w:pPr>
              <w:autoSpaceDE w:val="0"/>
              <w:autoSpaceDN w:val="0"/>
              <w:adjustRightInd w:val="0"/>
              <w:spacing w:after="0" w:line="240" w:lineRule="auto"/>
              <w:contextualSpacing/>
              <w:jc w:val="both"/>
              <w:rPr>
                <w:rFonts w:ascii="Arial" w:hAnsi="Arial" w:cs="Arial"/>
                <w:bCs/>
                <w:color w:val="000000"/>
              </w:rPr>
            </w:pPr>
            <w:r w:rsidRPr="009B5FC5">
              <w:rPr>
                <w:rFonts w:ascii="Arial" w:hAnsi="Arial" w:cs="Arial"/>
                <w:bCs/>
                <w:color w:val="000000"/>
              </w:rPr>
              <w:t xml:space="preserve">2.1.2 Sobre la actualización la Directriz N°002-2015 del 24 de agosto de 2015. </w:t>
            </w:r>
          </w:p>
          <w:p w14:paraId="2F54BF82" w14:textId="77777777" w:rsidR="009B5FC5" w:rsidRPr="009B5FC5" w:rsidRDefault="009B5FC5" w:rsidP="009B5FC5">
            <w:pPr>
              <w:autoSpaceDE w:val="0"/>
              <w:autoSpaceDN w:val="0"/>
              <w:adjustRightInd w:val="0"/>
              <w:spacing w:after="0" w:line="240" w:lineRule="auto"/>
              <w:contextualSpacing/>
              <w:jc w:val="both"/>
              <w:rPr>
                <w:rFonts w:ascii="Arial" w:hAnsi="Arial" w:cs="Arial"/>
                <w:bCs/>
                <w:color w:val="000000"/>
              </w:rPr>
            </w:pPr>
            <w:r w:rsidRPr="009B5FC5">
              <w:rPr>
                <w:rFonts w:ascii="Arial" w:hAnsi="Arial" w:cs="Arial"/>
                <w:bCs/>
                <w:color w:val="000000"/>
              </w:rPr>
              <w:t xml:space="preserve">2.1.3 Sobre la conformación del componente denominado “Ambiente de Apoyo”. </w:t>
            </w:r>
          </w:p>
          <w:p w14:paraId="61439DB0" w14:textId="77777777" w:rsidR="009B5FC5" w:rsidRPr="009B5FC5" w:rsidRDefault="009B5FC5" w:rsidP="009B5FC5">
            <w:pPr>
              <w:autoSpaceDE w:val="0"/>
              <w:autoSpaceDN w:val="0"/>
              <w:adjustRightInd w:val="0"/>
              <w:spacing w:after="0" w:line="240" w:lineRule="auto"/>
              <w:contextualSpacing/>
              <w:jc w:val="both"/>
              <w:rPr>
                <w:rFonts w:ascii="Arial" w:hAnsi="Arial" w:cs="Arial"/>
                <w:bCs/>
                <w:color w:val="000000"/>
              </w:rPr>
            </w:pPr>
            <w:r w:rsidRPr="009B5FC5">
              <w:rPr>
                <w:rFonts w:ascii="Arial" w:hAnsi="Arial" w:cs="Arial"/>
                <w:bCs/>
                <w:color w:val="000000"/>
              </w:rPr>
              <w:t>2.2.1 Sobre el cumplimiento de lo dispuesto en la Guía Metodológica.</w:t>
            </w:r>
          </w:p>
          <w:p w14:paraId="514CEDF0" w14:textId="7A05635E" w:rsidR="0055222A" w:rsidRPr="00261CAB" w:rsidRDefault="009B5FC5" w:rsidP="009B5FC5">
            <w:pPr>
              <w:autoSpaceDE w:val="0"/>
              <w:autoSpaceDN w:val="0"/>
              <w:adjustRightInd w:val="0"/>
              <w:spacing w:after="0" w:line="240" w:lineRule="auto"/>
              <w:contextualSpacing/>
              <w:jc w:val="both"/>
              <w:rPr>
                <w:rFonts w:ascii="Arial" w:hAnsi="Arial" w:cs="Arial"/>
                <w:bCs/>
                <w:color w:val="000000"/>
              </w:rPr>
            </w:pPr>
            <w:r w:rsidRPr="009B5FC5">
              <w:rPr>
                <w:rFonts w:ascii="Arial" w:hAnsi="Arial" w:cs="Arial"/>
                <w:bCs/>
                <w:color w:val="000000"/>
              </w:rPr>
              <w:t>2.2.2 Sobre la necesidad de documentar la revisión de la Guía Metodológica para la Valoración de Riesgo Institucional.</w:t>
            </w:r>
          </w:p>
        </w:tc>
        <w:tc>
          <w:tcPr>
            <w:tcW w:w="43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AB88715" w14:textId="77777777" w:rsidR="009B5FC5" w:rsidRPr="009B5FC5" w:rsidRDefault="009B5FC5" w:rsidP="009B5FC5">
            <w:pPr>
              <w:spacing w:after="0" w:line="240" w:lineRule="auto"/>
              <w:contextualSpacing/>
              <w:jc w:val="both"/>
              <w:rPr>
                <w:rFonts w:ascii="Arial" w:hAnsi="Arial" w:cs="Arial"/>
                <w:bCs/>
                <w:lang w:eastAsia="es-CR"/>
              </w:rPr>
            </w:pPr>
            <w:r w:rsidRPr="009B5FC5">
              <w:rPr>
                <w:rFonts w:ascii="Arial" w:hAnsi="Arial" w:cs="Arial"/>
                <w:bCs/>
                <w:lang w:eastAsia="es-CR"/>
              </w:rPr>
              <w:t>Al respecto, la Auditoría Interna está de</w:t>
            </w:r>
          </w:p>
          <w:p w14:paraId="44231555" w14:textId="0B9F240A" w:rsidR="009B5FC5" w:rsidRPr="009B5FC5" w:rsidRDefault="009B5FC5" w:rsidP="009B5FC5">
            <w:pPr>
              <w:spacing w:after="0" w:line="240" w:lineRule="auto"/>
              <w:contextualSpacing/>
              <w:jc w:val="both"/>
              <w:rPr>
                <w:rFonts w:ascii="Arial" w:hAnsi="Arial" w:cs="Arial"/>
                <w:bCs/>
                <w:lang w:eastAsia="es-CR"/>
              </w:rPr>
            </w:pPr>
            <w:r w:rsidRPr="009B5FC5">
              <w:rPr>
                <w:rFonts w:ascii="Arial" w:hAnsi="Arial" w:cs="Arial"/>
                <w:bCs/>
                <w:lang w:eastAsia="es-CR"/>
              </w:rPr>
              <w:t>acuerdo en considerar el plazo establecido</w:t>
            </w:r>
            <w:r>
              <w:t xml:space="preserve"> </w:t>
            </w:r>
            <w:r w:rsidRPr="009B5FC5">
              <w:rPr>
                <w:rFonts w:ascii="Arial" w:hAnsi="Arial" w:cs="Arial"/>
                <w:bCs/>
                <w:lang w:eastAsia="es-CR"/>
              </w:rPr>
              <w:t xml:space="preserve">para atender </w:t>
            </w:r>
            <w:r>
              <w:rPr>
                <w:rFonts w:ascii="Arial" w:hAnsi="Arial" w:cs="Arial"/>
                <w:bCs/>
                <w:lang w:eastAsia="es-CR"/>
              </w:rPr>
              <w:t>est</w:t>
            </w:r>
            <w:r w:rsidRPr="009B5FC5">
              <w:rPr>
                <w:rFonts w:ascii="Arial" w:hAnsi="Arial" w:cs="Arial"/>
                <w:bCs/>
                <w:lang w:eastAsia="es-CR"/>
              </w:rPr>
              <w:t>a</w:t>
            </w:r>
            <w:r>
              <w:rPr>
                <w:rFonts w:ascii="Arial" w:hAnsi="Arial" w:cs="Arial"/>
                <w:bCs/>
                <w:lang w:eastAsia="es-CR"/>
              </w:rPr>
              <w:t>s</w:t>
            </w:r>
            <w:r w:rsidRPr="009B5FC5">
              <w:rPr>
                <w:rFonts w:ascii="Arial" w:hAnsi="Arial" w:cs="Arial"/>
                <w:bCs/>
                <w:lang w:eastAsia="es-CR"/>
              </w:rPr>
              <w:t xml:space="preserve"> recomendaci</w:t>
            </w:r>
            <w:r>
              <w:rPr>
                <w:rFonts w:ascii="Arial" w:hAnsi="Arial" w:cs="Arial"/>
                <w:bCs/>
                <w:lang w:eastAsia="es-CR"/>
              </w:rPr>
              <w:t>ones.</w:t>
            </w:r>
          </w:p>
          <w:p w14:paraId="0F50F62B" w14:textId="66401F2B" w:rsidR="009B5FC5" w:rsidRPr="00261CAB" w:rsidRDefault="009B5FC5" w:rsidP="009B5FC5">
            <w:pPr>
              <w:spacing w:after="0" w:line="240" w:lineRule="auto"/>
              <w:contextualSpacing/>
              <w:jc w:val="both"/>
              <w:rPr>
                <w:rFonts w:ascii="Arial" w:hAnsi="Arial" w:cs="Arial"/>
                <w:bCs/>
                <w:lang w:eastAsia="es-CR"/>
              </w:rPr>
            </w:pPr>
            <w:r w:rsidRPr="009B5FC5">
              <w:rPr>
                <w:rFonts w:ascii="Arial" w:hAnsi="Arial" w:cs="Arial"/>
                <w:bCs/>
                <w:lang w:eastAsia="es-CR"/>
              </w:rPr>
              <w:t>.</w:t>
            </w:r>
          </w:p>
        </w:tc>
      </w:tr>
    </w:tbl>
    <w:p w14:paraId="1F9A1855" w14:textId="77777777" w:rsidR="00562F1A" w:rsidRDefault="00562F1A" w:rsidP="00E03114">
      <w:pPr>
        <w:spacing w:after="0" w:line="240" w:lineRule="auto"/>
        <w:contextualSpacing/>
        <w:jc w:val="both"/>
        <w:rPr>
          <w:rFonts w:ascii="Arial" w:hAnsi="Arial" w:cs="Arial"/>
          <w:b/>
          <w:sz w:val="18"/>
          <w:szCs w:val="18"/>
        </w:rPr>
      </w:pPr>
    </w:p>
    <w:p w14:paraId="75A42BF3" w14:textId="77777777" w:rsidR="0055222A" w:rsidRPr="005E501C" w:rsidRDefault="0055222A" w:rsidP="00E03114">
      <w:pPr>
        <w:spacing w:after="0" w:line="240" w:lineRule="auto"/>
        <w:contextualSpacing/>
        <w:jc w:val="both"/>
        <w:rPr>
          <w:rFonts w:ascii="Arial" w:hAnsi="Arial" w:cs="Arial"/>
          <w:sz w:val="18"/>
          <w:szCs w:val="18"/>
        </w:rPr>
      </w:pPr>
      <w:r w:rsidRPr="005E501C">
        <w:rPr>
          <w:rFonts w:ascii="Arial" w:hAnsi="Arial" w:cs="Arial"/>
          <w:b/>
          <w:sz w:val="18"/>
          <w:szCs w:val="18"/>
        </w:rPr>
        <w:t>Fuente:</w:t>
      </w:r>
      <w:r w:rsidRPr="005E501C">
        <w:rPr>
          <w:rFonts w:ascii="Arial" w:hAnsi="Arial" w:cs="Arial"/>
          <w:sz w:val="18"/>
          <w:szCs w:val="18"/>
        </w:rPr>
        <w:t xml:space="preserve"> Acta de comunicación de resultados del estudio No. </w:t>
      </w:r>
      <w:r w:rsidR="00065069">
        <w:rPr>
          <w:rFonts w:ascii="Arial" w:hAnsi="Arial" w:cs="Arial"/>
          <w:sz w:val="18"/>
          <w:szCs w:val="18"/>
        </w:rPr>
        <w:t>0</w:t>
      </w:r>
      <w:r w:rsidR="005C14D7">
        <w:rPr>
          <w:rFonts w:ascii="Arial" w:hAnsi="Arial" w:cs="Arial"/>
          <w:sz w:val="18"/>
          <w:szCs w:val="18"/>
        </w:rPr>
        <w:t>3</w:t>
      </w:r>
      <w:r w:rsidR="00D85ADA">
        <w:rPr>
          <w:rFonts w:ascii="Arial" w:hAnsi="Arial" w:cs="Arial"/>
          <w:sz w:val="18"/>
          <w:szCs w:val="18"/>
        </w:rPr>
        <w:t>0</w:t>
      </w:r>
      <w:r w:rsidR="00065069">
        <w:rPr>
          <w:rFonts w:ascii="Arial" w:hAnsi="Arial" w:cs="Arial"/>
          <w:sz w:val="18"/>
          <w:szCs w:val="18"/>
        </w:rPr>
        <w:t>-202</w:t>
      </w:r>
      <w:r w:rsidR="00770825">
        <w:rPr>
          <w:rFonts w:ascii="Arial" w:hAnsi="Arial" w:cs="Arial"/>
          <w:sz w:val="18"/>
          <w:szCs w:val="18"/>
        </w:rPr>
        <w:t>2</w:t>
      </w:r>
      <w:r w:rsidR="00065069">
        <w:rPr>
          <w:rFonts w:ascii="Arial" w:hAnsi="Arial" w:cs="Arial"/>
          <w:sz w:val="18"/>
          <w:szCs w:val="18"/>
        </w:rPr>
        <w:t>.</w:t>
      </w:r>
    </w:p>
    <w:sectPr w:rsidR="0055222A" w:rsidRPr="005E501C" w:rsidSect="005C14D7">
      <w:headerReference w:type="default" r:id="rId12"/>
      <w:footerReference w:type="default" r:id="rId13"/>
      <w:pgSz w:w="12240" w:h="15840" w:code="1"/>
      <w:pgMar w:top="1560" w:right="1183" w:bottom="1135" w:left="1701"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2BC4" w14:textId="77777777" w:rsidR="00631E7E" w:rsidRDefault="00631E7E" w:rsidP="00B17BEF">
      <w:pPr>
        <w:spacing w:after="0" w:line="240" w:lineRule="auto"/>
      </w:pPr>
      <w:r>
        <w:separator/>
      </w:r>
    </w:p>
  </w:endnote>
  <w:endnote w:type="continuationSeparator" w:id="0">
    <w:p w14:paraId="08B3937B" w14:textId="77777777" w:rsidR="00631E7E" w:rsidRDefault="00631E7E" w:rsidP="00B17BEF">
      <w:pPr>
        <w:spacing w:after="0" w:line="240" w:lineRule="auto"/>
      </w:pPr>
      <w:r>
        <w:continuationSeparator/>
      </w:r>
    </w:p>
  </w:endnote>
  <w:endnote w:type="continuationNotice" w:id="1">
    <w:p w14:paraId="277B5805" w14:textId="77777777" w:rsidR="00631E7E" w:rsidRDefault="0063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FF7F" w14:textId="77777777" w:rsidR="00F27C25" w:rsidRDefault="00F27C25" w:rsidP="00044177">
    <w:pPr>
      <w:spacing w:after="0" w:line="240" w:lineRule="auto"/>
      <w:jc w:val="center"/>
      <w:rPr>
        <w:rFonts w:ascii="Arial" w:hAnsi="Arial" w:cs="Arial"/>
        <w:noProof/>
        <w:sz w:val="16"/>
        <w:szCs w:val="16"/>
        <w:lang w:eastAsia="es-CR"/>
      </w:rPr>
    </w:pPr>
    <w:bookmarkStart w:id="93" w:name="_Hlk59531754"/>
    <w:bookmarkStart w:id="94" w:name="_Hlk59531755"/>
  </w:p>
  <w:p w14:paraId="0EFDA426" w14:textId="77777777" w:rsidR="00F27C25" w:rsidRDefault="00F27C25" w:rsidP="00044177">
    <w:pPr>
      <w:spacing w:after="0" w:line="240" w:lineRule="auto"/>
      <w:jc w:val="center"/>
      <w:rPr>
        <w:rFonts w:ascii="Arial" w:hAnsi="Arial" w:cs="Arial"/>
        <w:noProof/>
        <w:sz w:val="16"/>
        <w:szCs w:val="16"/>
        <w:lang w:eastAsia="es-CR"/>
      </w:rPr>
    </w:pPr>
  </w:p>
  <w:p w14:paraId="338F06C5" w14:textId="77777777" w:rsidR="00F27C25" w:rsidRPr="008E1113" w:rsidRDefault="00F27C25" w:rsidP="00044177">
    <w:pPr>
      <w:spacing w:after="0" w:line="240" w:lineRule="auto"/>
      <w:jc w:val="center"/>
      <w:rPr>
        <w:rFonts w:ascii="Arial" w:hAnsi="Arial" w:cs="Arial"/>
        <w:sz w:val="16"/>
        <w:szCs w:val="16"/>
      </w:rPr>
    </w:pPr>
    <w:r w:rsidRPr="008E1113">
      <w:rPr>
        <w:rFonts w:ascii="Arial" w:hAnsi="Arial" w:cs="Arial"/>
        <w:noProof/>
        <w:sz w:val="16"/>
        <w:szCs w:val="16"/>
        <w:lang w:eastAsia="es-CR"/>
      </w:rPr>
      <w:t>Av. 2da, Calles 1 y 3, diagonal al Teatro Nacional, San José, Costa Rica</w:t>
    </w:r>
    <w:r w:rsidRPr="008E1113">
      <w:rPr>
        <w:rFonts w:ascii="Arial" w:hAnsi="Arial" w:cs="Arial"/>
        <w:sz w:val="16"/>
        <w:szCs w:val="16"/>
      </w:rPr>
      <w:t>.</w:t>
    </w:r>
  </w:p>
  <w:p w14:paraId="1103798D" w14:textId="77777777" w:rsidR="00F27C25" w:rsidRDefault="00F27C25" w:rsidP="00643637">
    <w:pPr>
      <w:spacing w:after="0" w:line="240" w:lineRule="auto"/>
      <w:jc w:val="center"/>
      <w:rPr>
        <w:rStyle w:val="Hipervnculo"/>
        <w:rFonts w:ascii="Arial" w:hAnsi="Arial" w:cs="Arial"/>
        <w:sz w:val="16"/>
        <w:szCs w:val="16"/>
      </w:rPr>
    </w:pPr>
    <w:r w:rsidRPr="008E1113">
      <w:rPr>
        <w:rFonts w:ascii="Arial" w:hAnsi="Arial" w:cs="Arial"/>
        <w:sz w:val="16"/>
        <w:szCs w:val="16"/>
      </w:rPr>
      <w:t xml:space="preserve">Tel: (506)2539-6684 -  </w:t>
    </w:r>
    <w:hyperlink r:id="rId1" w:history="1">
      <w:r w:rsidRPr="008E1113">
        <w:rPr>
          <w:rStyle w:val="Hipervnculo"/>
          <w:rFonts w:ascii="Arial" w:hAnsi="Arial" w:cs="Arial"/>
          <w:sz w:val="16"/>
          <w:szCs w:val="16"/>
        </w:rPr>
        <w:t>www.hacienda.go.cr</w:t>
      </w:r>
    </w:hyperlink>
    <w:bookmarkEnd w:id="93"/>
    <w:bookmarkEnd w:id="94"/>
  </w:p>
  <w:p w14:paraId="4D5AE2B9" w14:textId="77777777" w:rsidR="00F27C25" w:rsidRPr="008E1113" w:rsidRDefault="00F27C25" w:rsidP="001031CF">
    <w:pPr>
      <w:spacing w:after="0" w:line="240" w:lineRule="auto"/>
      <w:jc w:val="right"/>
      <w:rPr>
        <w:rFonts w:ascii="Arial" w:hAnsi="Arial" w:cs="Arial"/>
        <w:sz w:val="16"/>
        <w:szCs w:val="16"/>
      </w:rPr>
    </w:pP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Pr>
        <w:rFonts w:ascii="Arial" w:hAnsi="Arial" w:cs="Arial"/>
        <w:bCs/>
        <w:sz w:val="18"/>
      </w:rPr>
      <w:t>5</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Pr>
        <w:rFonts w:ascii="Arial" w:hAnsi="Arial" w:cs="Arial"/>
        <w:bCs/>
        <w:sz w:val="18"/>
      </w:rPr>
      <w:t>13</w:t>
    </w:r>
    <w:r w:rsidRPr="00850E4A">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1CA2" w14:textId="77777777" w:rsidR="00631E7E" w:rsidRDefault="00631E7E" w:rsidP="00B17BEF">
      <w:pPr>
        <w:spacing w:after="0" w:line="240" w:lineRule="auto"/>
      </w:pPr>
      <w:bookmarkStart w:id="0" w:name="_Hlk90325711"/>
      <w:bookmarkEnd w:id="0"/>
      <w:r>
        <w:separator/>
      </w:r>
    </w:p>
  </w:footnote>
  <w:footnote w:type="continuationSeparator" w:id="0">
    <w:p w14:paraId="52DCB2BC" w14:textId="77777777" w:rsidR="00631E7E" w:rsidRDefault="00631E7E" w:rsidP="00B17BEF">
      <w:pPr>
        <w:spacing w:after="0" w:line="240" w:lineRule="auto"/>
      </w:pPr>
      <w:r>
        <w:continuationSeparator/>
      </w:r>
    </w:p>
  </w:footnote>
  <w:footnote w:type="continuationNotice" w:id="1">
    <w:p w14:paraId="5EC2670A" w14:textId="77777777" w:rsidR="00631E7E" w:rsidRDefault="00631E7E">
      <w:pPr>
        <w:spacing w:after="0" w:line="240" w:lineRule="auto"/>
      </w:pPr>
    </w:p>
  </w:footnote>
  <w:footnote w:id="2">
    <w:p w14:paraId="302D32D0" w14:textId="77777777" w:rsidR="00EB6B66" w:rsidRPr="00B86C55" w:rsidRDefault="00EB6B66" w:rsidP="00EB6B66">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sidR="005F043B" w:rsidRPr="005F043B">
        <w:rPr>
          <w:rFonts w:ascii="Arial" w:hAnsi="Arial" w:cs="Arial"/>
          <w:sz w:val="16"/>
          <w:szCs w:val="16"/>
        </w:rPr>
        <w:t>Artículo 28.-Funciones de las UPI</w:t>
      </w:r>
      <w:r>
        <w:rPr>
          <w:rFonts w:ascii="Arial" w:hAnsi="Arial" w:cs="Arial"/>
          <w:sz w:val="16"/>
          <w:szCs w:val="16"/>
        </w:rPr>
        <w:t xml:space="preserve">, </w:t>
      </w:r>
      <w:r w:rsidRPr="00EB6B66">
        <w:rPr>
          <w:rFonts w:ascii="Arial" w:hAnsi="Arial" w:cs="Arial"/>
          <w:sz w:val="16"/>
          <w:szCs w:val="16"/>
        </w:rPr>
        <w:t>Decreto N°37735-PLAN, Reglamento General del Sistema Nacional de Planificación.</w:t>
      </w:r>
    </w:p>
  </w:footnote>
  <w:footnote w:id="3">
    <w:p w14:paraId="51032536" w14:textId="77777777" w:rsidR="00F27C25" w:rsidRPr="00B86C55" w:rsidRDefault="00F27C25" w:rsidP="00077CD4">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Pr>
          <w:rFonts w:ascii="Arial" w:hAnsi="Arial" w:cs="Arial"/>
          <w:sz w:val="16"/>
          <w:szCs w:val="16"/>
        </w:rPr>
        <w:t>N</w:t>
      </w:r>
      <w:r w:rsidRPr="00A87F17">
        <w:rPr>
          <w:rFonts w:ascii="Arial" w:hAnsi="Arial" w:cs="Arial"/>
          <w:sz w:val="16"/>
          <w:szCs w:val="16"/>
        </w:rPr>
        <w:t>umeral 2.2</w:t>
      </w:r>
      <w:r>
        <w:rPr>
          <w:rFonts w:ascii="Arial" w:hAnsi="Arial" w:cs="Arial"/>
          <w:sz w:val="16"/>
          <w:szCs w:val="16"/>
        </w:rPr>
        <w:t xml:space="preserve">, </w:t>
      </w:r>
      <w:bookmarkStart w:id="39" w:name="_Hlk124505893"/>
      <w:r w:rsidRPr="006D35F9">
        <w:rPr>
          <w:rFonts w:ascii="Arial" w:hAnsi="Arial" w:cs="Arial"/>
          <w:sz w:val="16"/>
          <w:szCs w:val="16"/>
        </w:rPr>
        <w:t>Resolución No. R-CO-64-2005</w:t>
      </w:r>
      <w:r w:rsidRPr="00A87F17">
        <w:rPr>
          <w:rFonts w:ascii="Arial" w:hAnsi="Arial" w:cs="Arial"/>
          <w:sz w:val="16"/>
          <w:szCs w:val="16"/>
        </w:rPr>
        <w:t xml:space="preserve">, sobre </w:t>
      </w:r>
      <w:r>
        <w:rPr>
          <w:rFonts w:ascii="Arial" w:hAnsi="Arial" w:cs="Arial"/>
          <w:sz w:val="16"/>
          <w:szCs w:val="16"/>
        </w:rPr>
        <w:t>“</w:t>
      </w:r>
      <w:r w:rsidRPr="00A87F17">
        <w:rPr>
          <w:rFonts w:ascii="Arial" w:hAnsi="Arial" w:cs="Arial"/>
          <w:sz w:val="16"/>
          <w:szCs w:val="16"/>
        </w:rPr>
        <w:t>Directrices generales para el establecimiento y funcionamiento del Sistema Específico de Valoración del Riesgo Institucional (SEVRI)</w:t>
      </w:r>
      <w:r>
        <w:rPr>
          <w:rFonts w:ascii="Arial" w:hAnsi="Arial" w:cs="Arial"/>
          <w:sz w:val="16"/>
          <w:szCs w:val="16"/>
        </w:rPr>
        <w:t>”.</w:t>
      </w:r>
    </w:p>
    <w:bookmarkEnd w:id="39"/>
  </w:footnote>
  <w:footnote w:id="4">
    <w:p w14:paraId="00B765AF" w14:textId="77777777" w:rsidR="00F27C25" w:rsidRPr="00B86C55" w:rsidRDefault="00F27C25" w:rsidP="00EB7A66">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bookmarkStart w:id="40" w:name="_Hlk124429930"/>
      <w:r>
        <w:rPr>
          <w:rFonts w:ascii="Arial" w:hAnsi="Arial" w:cs="Arial"/>
          <w:sz w:val="16"/>
          <w:szCs w:val="16"/>
        </w:rPr>
        <w:t>“</w:t>
      </w:r>
      <w:r w:rsidRPr="00A87F17">
        <w:rPr>
          <w:rFonts w:ascii="Arial" w:hAnsi="Arial" w:cs="Arial"/>
          <w:sz w:val="16"/>
          <w:szCs w:val="16"/>
        </w:rPr>
        <w:t>Directrices generales para el establecimiento y funcionamiento del Sistema Específico de Valoración del Riesgo Institucional (SEVRI)</w:t>
      </w:r>
      <w:bookmarkEnd w:id="40"/>
      <w:r>
        <w:rPr>
          <w:rFonts w:ascii="Arial" w:hAnsi="Arial" w:cs="Arial"/>
          <w:sz w:val="16"/>
          <w:szCs w:val="16"/>
        </w:rPr>
        <w:t>”.</w:t>
      </w:r>
    </w:p>
  </w:footnote>
  <w:footnote w:id="5">
    <w:p w14:paraId="16C48E9E" w14:textId="77777777" w:rsidR="00F27C25" w:rsidRPr="00B86C55" w:rsidRDefault="00F27C25" w:rsidP="005E7AF1">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Pr>
          <w:rFonts w:ascii="Arial" w:hAnsi="Arial" w:cs="Arial"/>
          <w:sz w:val="16"/>
          <w:szCs w:val="16"/>
        </w:rPr>
        <w:t xml:space="preserve">Inciso r del </w:t>
      </w:r>
      <w:r w:rsidRPr="005E7AF1">
        <w:rPr>
          <w:rFonts w:ascii="Arial" w:hAnsi="Arial" w:cs="Arial"/>
          <w:sz w:val="16"/>
          <w:szCs w:val="16"/>
        </w:rPr>
        <w:t>Artículo 28</w:t>
      </w:r>
      <w:r>
        <w:rPr>
          <w:rFonts w:ascii="Arial" w:hAnsi="Arial" w:cs="Arial"/>
          <w:sz w:val="16"/>
          <w:szCs w:val="16"/>
        </w:rPr>
        <w:t xml:space="preserve">, </w:t>
      </w:r>
      <w:r w:rsidRPr="005E7AF1">
        <w:rPr>
          <w:rFonts w:ascii="Arial" w:hAnsi="Arial" w:cs="Arial"/>
          <w:sz w:val="16"/>
          <w:szCs w:val="16"/>
        </w:rPr>
        <w:t>Funciones de las UPI</w:t>
      </w:r>
      <w:r w:rsidRPr="00EB16C1">
        <w:rPr>
          <w:rFonts w:ascii="Arial" w:hAnsi="Arial" w:cs="Arial"/>
          <w:sz w:val="16"/>
          <w:szCs w:val="16"/>
        </w:rPr>
        <w:t xml:space="preserve">. </w:t>
      </w:r>
      <w:r>
        <w:rPr>
          <w:rFonts w:ascii="Arial" w:hAnsi="Arial" w:cs="Arial"/>
          <w:sz w:val="16"/>
          <w:szCs w:val="16"/>
        </w:rPr>
        <w:t xml:space="preserve"> </w:t>
      </w:r>
    </w:p>
  </w:footnote>
  <w:footnote w:id="6">
    <w:p w14:paraId="0DA0050A" w14:textId="77777777" w:rsidR="00F27C25" w:rsidRPr="00B86C55" w:rsidRDefault="00F27C25" w:rsidP="00FD06D0">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Pr>
          <w:rFonts w:ascii="Arial" w:hAnsi="Arial" w:cs="Arial"/>
          <w:sz w:val="16"/>
          <w:szCs w:val="16"/>
        </w:rPr>
        <w:t xml:space="preserve">Punto 3.2 Marco Orientador, </w:t>
      </w:r>
      <w:r w:rsidRPr="004F49E3">
        <w:rPr>
          <w:rFonts w:ascii="Arial" w:hAnsi="Arial" w:cs="Arial"/>
          <w:sz w:val="16"/>
          <w:szCs w:val="16"/>
        </w:rPr>
        <w:t>Directrices Generales para el Establecimiento y Funcionamiento del Sistema Específico de Valoración del Riesgo Institucional (SEVRI)</w:t>
      </w:r>
      <w:r>
        <w:rPr>
          <w:rFonts w:ascii="Arial" w:hAnsi="Arial" w:cs="Arial"/>
          <w:sz w:val="16"/>
          <w:szCs w:val="16"/>
        </w:rPr>
        <w:t xml:space="preserve"> </w:t>
      </w:r>
      <w:r w:rsidRPr="00EB16C1">
        <w:rPr>
          <w:rFonts w:ascii="Arial" w:hAnsi="Arial" w:cs="Arial"/>
          <w:sz w:val="16"/>
          <w:szCs w:val="16"/>
        </w:rPr>
        <w:t xml:space="preserve">del 12 de julio del 2005. </w:t>
      </w:r>
      <w:r>
        <w:rPr>
          <w:rFonts w:ascii="Arial" w:hAnsi="Arial" w:cs="Arial"/>
          <w:sz w:val="16"/>
          <w:szCs w:val="16"/>
        </w:rPr>
        <w:t xml:space="preserve"> </w:t>
      </w:r>
    </w:p>
  </w:footnote>
  <w:footnote w:id="7">
    <w:p w14:paraId="4EEE141B" w14:textId="1F05143E" w:rsidR="00F27C25" w:rsidRPr="00B86C55" w:rsidRDefault="00F27C25" w:rsidP="00841967">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sidRPr="00841967">
        <w:rPr>
          <w:rFonts w:ascii="Arial" w:hAnsi="Arial" w:cs="Arial"/>
          <w:sz w:val="16"/>
          <w:szCs w:val="16"/>
        </w:rPr>
        <w:t>"</w:t>
      </w:r>
      <w:bookmarkStart w:id="60" w:name="_Hlk124432380"/>
      <w:r w:rsidRPr="00841967">
        <w:rPr>
          <w:rFonts w:ascii="Arial" w:hAnsi="Arial" w:cs="Arial"/>
          <w:sz w:val="16"/>
          <w:szCs w:val="16"/>
        </w:rPr>
        <w:t>Directriz para la aplicación de la Ley de Control Interno, Normas de Control Interno y Actividades del Sistema Específico de Valoración de Riesgo Institucional para el Ministerio de Hacienda</w:t>
      </w:r>
      <w:bookmarkEnd w:id="60"/>
      <w:r w:rsidRPr="00841967">
        <w:rPr>
          <w:rFonts w:ascii="Arial" w:hAnsi="Arial" w:cs="Arial"/>
          <w:sz w:val="16"/>
          <w:szCs w:val="16"/>
        </w:rPr>
        <w:t>”</w:t>
      </w:r>
      <w:r w:rsidR="00832BB6" w:rsidRPr="00832BB6">
        <w:t xml:space="preserve"> </w:t>
      </w:r>
      <w:r w:rsidR="00832BB6" w:rsidRPr="00832BB6">
        <w:rPr>
          <w:rFonts w:ascii="Arial" w:hAnsi="Arial" w:cs="Arial"/>
          <w:sz w:val="16"/>
          <w:szCs w:val="16"/>
        </w:rPr>
        <w:t>del 24 de agosto de 2015</w:t>
      </w:r>
      <w:r w:rsidR="00832BB6">
        <w:rPr>
          <w:rFonts w:ascii="Arial" w:hAnsi="Arial" w:cs="Arial"/>
          <w:sz w:val="16"/>
          <w:szCs w:val="16"/>
        </w:rPr>
        <w:t>.</w:t>
      </w:r>
    </w:p>
  </w:footnote>
  <w:footnote w:id="8">
    <w:p w14:paraId="1E862C3C" w14:textId="77777777" w:rsidR="00F27C25" w:rsidRPr="00B86C55" w:rsidRDefault="00F27C25" w:rsidP="00E10F9C">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sidRPr="00EB16C1">
        <w:rPr>
          <w:rFonts w:ascii="Arial" w:hAnsi="Arial" w:cs="Arial"/>
          <w:sz w:val="16"/>
          <w:szCs w:val="16"/>
        </w:rPr>
        <w:t xml:space="preserve">Resolución No. R-CO-64-2005. Publicada en La Gaceta No. 134 del 12 de julio del 2005. </w:t>
      </w:r>
      <w:r>
        <w:rPr>
          <w:rFonts w:ascii="Arial" w:hAnsi="Arial" w:cs="Arial"/>
          <w:sz w:val="16"/>
          <w:szCs w:val="16"/>
        </w:rPr>
        <w:t xml:space="preserve"> </w:t>
      </w:r>
    </w:p>
  </w:footnote>
  <w:footnote w:id="9">
    <w:p w14:paraId="1C5BC27B" w14:textId="77777777" w:rsidR="00F27C25" w:rsidRPr="00B86C55" w:rsidRDefault="00F27C25" w:rsidP="00641B4B">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Pr>
          <w:rFonts w:ascii="Arial" w:hAnsi="Arial" w:cs="Arial"/>
          <w:sz w:val="16"/>
          <w:szCs w:val="16"/>
        </w:rPr>
        <w:t>O</w:t>
      </w:r>
      <w:r w:rsidRPr="00641B4B">
        <w:rPr>
          <w:rFonts w:ascii="Arial" w:hAnsi="Arial" w:cs="Arial"/>
          <w:sz w:val="16"/>
          <w:szCs w:val="16"/>
        </w:rPr>
        <w:t>ficializada el 20 de agosto del 2020 a través del oficio DM-1024-2020</w:t>
      </w:r>
      <w:r>
        <w:rPr>
          <w:rFonts w:ascii="Arial" w:hAnsi="Arial" w:cs="Arial"/>
          <w:sz w:val="16"/>
          <w:szCs w:val="16"/>
        </w:rPr>
        <w:t>.</w:t>
      </w:r>
    </w:p>
  </w:footnote>
  <w:footnote w:id="10">
    <w:p w14:paraId="55CD55E4" w14:textId="77777777" w:rsidR="00F27C25" w:rsidRPr="00B86C55" w:rsidRDefault="00F27C25" w:rsidP="00F935EC">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Pr>
          <w:rFonts w:ascii="Arial" w:hAnsi="Arial" w:cs="Arial"/>
          <w:sz w:val="16"/>
          <w:szCs w:val="16"/>
        </w:rPr>
        <w:t>P</w:t>
      </w:r>
      <w:r w:rsidRPr="00F935EC">
        <w:rPr>
          <w:rFonts w:ascii="Arial" w:hAnsi="Arial" w:cs="Arial"/>
          <w:sz w:val="16"/>
          <w:szCs w:val="16"/>
        </w:rPr>
        <w:t>unto</w:t>
      </w:r>
      <w:r>
        <w:rPr>
          <w:rFonts w:ascii="Arial" w:hAnsi="Arial" w:cs="Arial"/>
          <w:sz w:val="16"/>
          <w:szCs w:val="16"/>
        </w:rPr>
        <w:t xml:space="preserve"> </w:t>
      </w:r>
      <w:r w:rsidRPr="00F935EC">
        <w:rPr>
          <w:rFonts w:ascii="Arial" w:hAnsi="Arial" w:cs="Arial"/>
          <w:sz w:val="16"/>
          <w:szCs w:val="16"/>
        </w:rPr>
        <w:t xml:space="preserve">4. </w:t>
      </w:r>
      <w:r>
        <w:rPr>
          <w:rFonts w:ascii="Arial" w:hAnsi="Arial" w:cs="Arial"/>
          <w:sz w:val="16"/>
          <w:szCs w:val="16"/>
        </w:rPr>
        <w:t>Responsables, “</w:t>
      </w:r>
      <w:r w:rsidRPr="00F935EC">
        <w:rPr>
          <w:rFonts w:ascii="Arial" w:hAnsi="Arial" w:cs="Arial"/>
          <w:sz w:val="16"/>
          <w:szCs w:val="16"/>
        </w:rPr>
        <w:t>Guía Metodológica Valoración de Riesgo Institucional MH-DIPI-PRO01-GUI-001</w:t>
      </w:r>
      <w:r>
        <w:rPr>
          <w:rFonts w:ascii="Arial" w:hAnsi="Arial" w:cs="Arial"/>
          <w:sz w:val="16"/>
          <w:szCs w:val="16"/>
        </w:rPr>
        <w:t>”.</w:t>
      </w:r>
    </w:p>
  </w:footnote>
  <w:footnote w:id="11">
    <w:p w14:paraId="4164F75A" w14:textId="77777777" w:rsidR="00F27C25" w:rsidRPr="00B86C55" w:rsidRDefault="00F27C25" w:rsidP="0064215A">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sidRPr="00841967">
        <w:rPr>
          <w:rFonts w:ascii="Arial" w:hAnsi="Arial" w:cs="Arial"/>
          <w:sz w:val="16"/>
          <w:szCs w:val="16"/>
        </w:rPr>
        <w:t>"Directriz para la aplicación de la Ley de Control Interno, Normas de Control Interno y Actividades del Sistema Específico de Valoración de Riesgo Institucional para el Ministerio de Hacienda”</w:t>
      </w:r>
      <w:r>
        <w:rPr>
          <w:rFonts w:ascii="Arial" w:hAnsi="Arial" w:cs="Arial"/>
          <w:sz w:val="16"/>
          <w:szCs w:val="16"/>
        </w:rPr>
        <w:t>.</w:t>
      </w:r>
    </w:p>
  </w:footnote>
  <w:footnote w:id="12">
    <w:p w14:paraId="59720445" w14:textId="77777777" w:rsidR="00F27C25" w:rsidRPr="00B86C55" w:rsidRDefault="00F27C25" w:rsidP="00D04D71">
      <w:pPr>
        <w:pStyle w:val="Textonotapie"/>
        <w:jc w:val="both"/>
        <w:rPr>
          <w:rFonts w:ascii="Arial" w:hAnsi="Arial" w:cs="Arial"/>
          <w:sz w:val="16"/>
          <w:szCs w:val="16"/>
        </w:rPr>
      </w:pPr>
      <w:r w:rsidRPr="00B86C55">
        <w:rPr>
          <w:rFonts w:ascii="Arial" w:hAnsi="Arial" w:cs="Arial"/>
          <w:sz w:val="16"/>
          <w:szCs w:val="16"/>
        </w:rPr>
        <w:footnoteRef/>
      </w:r>
      <w:r w:rsidRPr="00B86C55">
        <w:rPr>
          <w:rFonts w:ascii="Arial" w:hAnsi="Arial" w:cs="Arial"/>
          <w:sz w:val="16"/>
          <w:szCs w:val="16"/>
        </w:rPr>
        <w:t xml:space="preserve"> </w:t>
      </w:r>
      <w:r>
        <w:rPr>
          <w:rFonts w:ascii="Arial" w:hAnsi="Arial" w:cs="Arial"/>
          <w:sz w:val="16"/>
          <w:szCs w:val="16"/>
        </w:rPr>
        <w:t xml:space="preserve">Punto </w:t>
      </w:r>
      <w:r w:rsidRPr="00F3789C">
        <w:rPr>
          <w:rFonts w:ascii="Arial" w:hAnsi="Arial" w:cs="Arial"/>
          <w:sz w:val="16"/>
          <w:szCs w:val="16"/>
        </w:rPr>
        <w:t>3.3. Ambiente de apoyo</w:t>
      </w:r>
      <w:r>
        <w:rPr>
          <w:rFonts w:ascii="Arial" w:hAnsi="Arial" w:cs="Arial"/>
          <w:sz w:val="16"/>
          <w:szCs w:val="16"/>
        </w:rPr>
        <w:t>, “</w:t>
      </w:r>
      <w:r w:rsidRPr="00D04D71">
        <w:rPr>
          <w:rFonts w:ascii="Arial" w:hAnsi="Arial" w:cs="Arial"/>
          <w:sz w:val="16"/>
          <w:szCs w:val="16"/>
        </w:rPr>
        <w:t>Directrices Generales para el Establecimiento y Funcionamiento del Sistema Específico de Valoración del Riesgo Institucional</w:t>
      </w:r>
      <w:r>
        <w:rPr>
          <w:rFonts w:ascii="Arial" w:hAnsi="Arial" w:cs="Arial"/>
          <w:sz w:val="16"/>
          <w:szCs w:val="16"/>
        </w:rPr>
        <w:t>”</w:t>
      </w:r>
      <w:r w:rsidRPr="00EB16C1">
        <w:rPr>
          <w:rFonts w:ascii="Arial" w:hAnsi="Arial" w:cs="Arial"/>
          <w:sz w:val="16"/>
          <w:szCs w:val="16"/>
        </w:rPr>
        <w:t xml:space="preserve">. </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C489" w14:textId="71983E5B" w:rsidR="00F27C25" w:rsidRDefault="00F27C25" w:rsidP="008E1113">
    <w:pPr>
      <w:pStyle w:val="Encabezado"/>
      <w:jc w:val="center"/>
    </w:pPr>
    <w:r>
      <w:tab/>
    </w:r>
  </w:p>
  <w:p w14:paraId="7FA486C5" w14:textId="77777777" w:rsidR="00F27C25" w:rsidRDefault="00F27C25" w:rsidP="00572288">
    <w:pPr>
      <w:pStyle w:val="Encabezado"/>
      <w:spacing w:line="0" w:lineRule="atLeast"/>
      <w:jc w:val="center"/>
    </w:pPr>
    <w:r>
      <w:t xml:space="preserve">                                                                                                                                    </w:t>
    </w:r>
    <w:r>
      <w:rPr>
        <w:rFonts w:ascii="Arial" w:hAnsi="Arial" w:cs="Arial"/>
        <w:noProof/>
        <w:sz w:val="18"/>
      </w:rPr>
      <w:drawing>
        <wp:inline distT="0" distB="0" distL="0" distR="0" wp14:anchorId="36A0A7D2" wp14:editId="4C52FC3B">
          <wp:extent cx="1280160" cy="65214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52145"/>
                  </a:xfrm>
                  <a:prstGeom prst="rect">
                    <a:avLst/>
                  </a:prstGeom>
                  <a:noFill/>
                </pic:spPr>
              </pic:pic>
            </a:graphicData>
          </a:graphic>
        </wp:inline>
      </w:drawing>
    </w:r>
    <w:r>
      <w:rPr>
        <w:noProof/>
        <w:lang w:eastAsia="es-ES_tradnl"/>
      </w:rPr>
      <w:drawing>
        <wp:anchor distT="0" distB="0" distL="114300" distR="114300" simplePos="0" relativeHeight="251668480" behindDoc="1" locked="0" layoutInCell="1" allowOverlap="1" wp14:anchorId="26A32E37" wp14:editId="5D30B218">
          <wp:simplePos x="0" y="0"/>
          <wp:positionH relativeFrom="column">
            <wp:posOffset>91440</wp:posOffset>
          </wp:positionH>
          <wp:positionV relativeFrom="page">
            <wp:posOffset>365760</wp:posOffset>
          </wp:positionV>
          <wp:extent cx="1046480" cy="467360"/>
          <wp:effectExtent l="0" t="0" r="1270" b="8890"/>
          <wp:wrapNone/>
          <wp:docPr id="30" name="Imagen 30"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32CF3" w14:textId="7410E81A" w:rsidR="00F27C25" w:rsidRPr="00572288" w:rsidRDefault="00F27C25" w:rsidP="00572288">
    <w:pPr>
      <w:pStyle w:val="Encabezado"/>
      <w:tabs>
        <w:tab w:val="clear" w:pos="4419"/>
        <w:tab w:val="clear" w:pos="8838"/>
        <w:tab w:val="center" w:pos="3969"/>
        <w:tab w:val="right" w:pos="8505"/>
      </w:tabs>
      <w:spacing w:line="0" w:lineRule="atLeast"/>
      <w:rPr>
        <w:rFonts w:ascii="Arial" w:hAnsi="Arial" w:cs="Arial"/>
        <w:sz w:val="18"/>
      </w:rPr>
    </w:pPr>
    <w:r>
      <w:rPr>
        <w:rFonts w:ascii="Arial Narrow" w:hAnsi="Arial Narrow"/>
      </w:rPr>
      <w:tab/>
      <w:t xml:space="preserve">                           </w:t>
    </w:r>
    <w:r w:rsidRPr="00850E4A">
      <w:rPr>
        <w:rFonts w:ascii="Arial" w:hAnsi="Arial" w:cs="Arial"/>
        <w:sz w:val="18"/>
      </w:rPr>
      <w:t xml:space="preserve">                                                          </w:t>
    </w:r>
    <w:r>
      <w:rPr>
        <w:rFonts w:ascii="Arial" w:hAnsi="Arial" w:cs="Arial"/>
        <w:sz w:val="18"/>
      </w:rPr>
      <w:t xml:space="preserve">                                                   </w:t>
    </w:r>
    <w:r w:rsidRPr="00850E4A">
      <w:rPr>
        <w:rFonts w:ascii="Arial" w:hAnsi="Arial" w:cs="Arial"/>
        <w:sz w:val="18"/>
      </w:rPr>
      <w:t xml:space="preserve"> </w:t>
    </w:r>
    <w:r w:rsidR="00922C18" w:rsidRPr="00922C18">
      <w:rPr>
        <w:rFonts w:ascii="Arial" w:hAnsi="Arial" w:cs="Arial"/>
        <w:sz w:val="18"/>
      </w:rPr>
      <w:t>AI-INF-</w:t>
    </w:r>
    <w:r w:rsidR="00EE06B8">
      <w:rPr>
        <w:rFonts w:ascii="Arial" w:hAnsi="Arial" w:cs="Arial"/>
        <w:sz w:val="18"/>
      </w:rPr>
      <w:t>CI-</w:t>
    </w:r>
    <w:r w:rsidR="00922C18" w:rsidRPr="00922C18">
      <w:rPr>
        <w:rFonts w:ascii="Arial" w:hAnsi="Arial" w:cs="Arial"/>
        <w:sz w:val="18"/>
      </w:rPr>
      <w:t>030-2022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2" w15:restartNumberingAfterBreak="0">
    <w:nsid w:val="05B361A0"/>
    <w:multiLevelType w:val="multilevel"/>
    <w:tmpl w:val="8714958A"/>
    <w:lvl w:ilvl="0">
      <w:start w:val="1"/>
      <w:numFmt w:val="decimal"/>
      <w:lvlText w:val="%1."/>
      <w:lvlJc w:val="left"/>
      <w:pPr>
        <w:ind w:left="720" w:hanging="360"/>
      </w:pPr>
      <w:rPr>
        <w:rFonts w:hint="default"/>
      </w:rPr>
    </w:lvl>
    <w:lvl w:ilvl="1">
      <w:start w:val="8"/>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7A2BB7"/>
    <w:multiLevelType w:val="multilevel"/>
    <w:tmpl w:val="50AADD08"/>
    <w:lvl w:ilvl="0">
      <w:start w:val="1"/>
      <w:numFmt w:val="decimal"/>
      <w:lvlText w:val="%1."/>
      <w:lvlJc w:val="left"/>
      <w:pPr>
        <w:ind w:left="720" w:hanging="360"/>
      </w:pPr>
      <w:rPr>
        <w:rFonts w:hint="default"/>
      </w:rPr>
    </w:lvl>
    <w:lvl w:ilvl="1">
      <w:start w:val="1"/>
      <w:numFmt w:val="decimal"/>
      <w:isLgl/>
      <w:lvlText w:val="%1.%2"/>
      <w:lvlJc w:val="left"/>
      <w:pPr>
        <w:ind w:left="5500"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162772"/>
    <w:multiLevelType w:val="multilevel"/>
    <w:tmpl w:val="D92044C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C1008"/>
    <w:multiLevelType w:val="multilevel"/>
    <w:tmpl w:val="8968CA1C"/>
    <w:lvl w:ilvl="0">
      <w:start w:val="2"/>
      <w:numFmt w:val="decimal"/>
      <w:lvlText w:val="%1."/>
      <w:lvlJc w:val="left"/>
      <w:pPr>
        <w:ind w:left="720" w:hanging="360"/>
      </w:pPr>
      <w:rPr>
        <w:rFonts w:hint="default"/>
      </w:rPr>
    </w:lvl>
    <w:lvl w:ilvl="1">
      <w:start w:val="4"/>
      <w:numFmt w:val="decimal"/>
      <w:isLgl/>
      <w:lvlText w:val="%1.%2"/>
      <w:lvlJc w:val="left"/>
      <w:pPr>
        <w:ind w:left="680"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C3B352B"/>
    <w:multiLevelType w:val="multilevel"/>
    <w:tmpl w:val="674A083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9" w15:restartNumberingAfterBreak="0">
    <w:nsid w:val="20650659"/>
    <w:multiLevelType w:val="multilevel"/>
    <w:tmpl w:val="09A4220A"/>
    <w:lvl w:ilvl="0">
      <w:start w:val="4"/>
      <w:numFmt w:val="decimal"/>
      <w:lvlText w:val="%1."/>
      <w:lvlJc w:val="left"/>
      <w:pPr>
        <w:ind w:left="720" w:hanging="360"/>
      </w:pPr>
      <w:rPr>
        <w:rFonts w:hint="default"/>
      </w:rPr>
    </w:lvl>
    <w:lvl w:ilvl="1">
      <w:start w:val="1"/>
      <w:numFmt w:val="decimal"/>
      <w:isLgl/>
      <w:lvlText w:val="%1.%2"/>
      <w:lvlJc w:val="left"/>
      <w:pPr>
        <w:ind w:left="284" w:firstLine="7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11" w15:restartNumberingAfterBreak="0">
    <w:nsid w:val="30B708E2"/>
    <w:multiLevelType w:val="hybridMultilevel"/>
    <w:tmpl w:val="64580042"/>
    <w:lvl w:ilvl="0" w:tplc="9C3401B8">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15:restartNumberingAfterBreak="0">
    <w:nsid w:val="466143D7"/>
    <w:multiLevelType w:val="hybridMultilevel"/>
    <w:tmpl w:val="B5D8BE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9B56230"/>
    <w:multiLevelType w:val="multilevel"/>
    <w:tmpl w:val="93E07C66"/>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6" w15:restartNumberingAfterBreak="0">
    <w:nsid w:val="54AB7747"/>
    <w:multiLevelType w:val="hybridMultilevel"/>
    <w:tmpl w:val="678A9CC2"/>
    <w:lvl w:ilvl="0" w:tplc="38C8D58A">
      <w:start w:val="1"/>
      <w:numFmt w:val="decimal"/>
      <w:lvlText w:val="%1."/>
      <w:lvlJc w:val="left"/>
      <w:pPr>
        <w:ind w:left="720" w:hanging="360"/>
      </w:pPr>
      <w:rPr>
        <w:rFonts w:hint="default"/>
        <w:sz w:val="20"/>
        <w:szCs w:val="20"/>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D535C9"/>
    <w:multiLevelType w:val="hybridMultilevel"/>
    <w:tmpl w:val="B104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FEE679B"/>
    <w:multiLevelType w:val="hybridMultilevel"/>
    <w:tmpl w:val="1FD2FD5A"/>
    <w:lvl w:ilvl="0" w:tplc="477CE2AA">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699254AE"/>
    <w:multiLevelType w:val="hybridMultilevel"/>
    <w:tmpl w:val="B1C427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B8B7401"/>
    <w:multiLevelType w:val="hybridMultilevel"/>
    <w:tmpl w:val="5B3209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F4743BD"/>
    <w:multiLevelType w:val="hybridMultilevel"/>
    <w:tmpl w:val="BE0A197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7" w15:restartNumberingAfterBreak="0">
    <w:nsid w:val="7803554F"/>
    <w:multiLevelType w:val="hybridMultilevel"/>
    <w:tmpl w:val="E9B42F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A1845BC"/>
    <w:multiLevelType w:val="hybridMultilevel"/>
    <w:tmpl w:val="E16473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D253719"/>
    <w:multiLevelType w:val="hybridMultilevel"/>
    <w:tmpl w:val="6B88C0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7"/>
  </w:num>
  <w:num w:numId="3">
    <w:abstractNumId w:val="26"/>
  </w:num>
  <w:num w:numId="4">
    <w:abstractNumId w:val="20"/>
  </w:num>
  <w:num w:numId="5">
    <w:abstractNumId w:val="3"/>
  </w:num>
  <w:num w:numId="6">
    <w:abstractNumId w:val="21"/>
  </w:num>
  <w:num w:numId="7">
    <w:abstractNumId w:val="24"/>
  </w:num>
  <w:num w:numId="8">
    <w:abstractNumId w:val="5"/>
  </w:num>
  <w:num w:numId="9">
    <w:abstractNumId w:val="1"/>
  </w:num>
  <w:num w:numId="10">
    <w:abstractNumId w:val="15"/>
  </w:num>
  <w:num w:numId="11">
    <w:abstractNumId w:val="12"/>
  </w:num>
  <w:num w:numId="12">
    <w:abstractNumId w:val="10"/>
  </w:num>
  <w:num w:numId="13">
    <w:abstractNumId w:val="18"/>
  </w:num>
  <w:num w:numId="14">
    <w:abstractNumId w:val="14"/>
  </w:num>
  <w:num w:numId="15">
    <w:abstractNumId w:val="6"/>
  </w:num>
  <w:num w:numId="16">
    <w:abstractNumId w:val="2"/>
  </w:num>
  <w:num w:numId="17">
    <w:abstractNumId w:val="9"/>
  </w:num>
  <w:num w:numId="18">
    <w:abstractNumId w:val="11"/>
  </w:num>
  <w:num w:numId="19">
    <w:abstractNumId w:val="4"/>
  </w:num>
  <w:num w:numId="20">
    <w:abstractNumId w:val="8"/>
  </w:num>
  <w:num w:numId="21">
    <w:abstractNumId w:val="16"/>
  </w:num>
  <w:num w:numId="22">
    <w:abstractNumId w:val="19"/>
  </w:num>
  <w:num w:numId="23">
    <w:abstractNumId w:val="7"/>
  </w:num>
  <w:num w:numId="24">
    <w:abstractNumId w:val="29"/>
  </w:num>
  <w:num w:numId="25">
    <w:abstractNumId w:val="13"/>
  </w:num>
  <w:num w:numId="26">
    <w:abstractNumId w:val="28"/>
  </w:num>
  <w:num w:numId="27">
    <w:abstractNumId w:val="27"/>
  </w:num>
  <w:num w:numId="28">
    <w:abstractNumId w:val="23"/>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0B6E"/>
    <w:rsid w:val="00003D19"/>
    <w:rsid w:val="00004BDB"/>
    <w:rsid w:val="00004E0D"/>
    <w:rsid w:val="00007184"/>
    <w:rsid w:val="00010450"/>
    <w:rsid w:val="000122DF"/>
    <w:rsid w:val="00016F78"/>
    <w:rsid w:val="00017CD1"/>
    <w:rsid w:val="00017DAF"/>
    <w:rsid w:val="000220DE"/>
    <w:rsid w:val="0002490C"/>
    <w:rsid w:val="0002500E"/>
    <w:rsid w:val="00030059"/>
    <w:rsid w:val="00030E25"/>
    <w:rsid w:val="00031057"/>
    <w:rsid w:val="00031758"/>
    <w:rsid w:val="00036B8A"/>
    <w:rsid w:val="00037196"/>
    <w:rsid w:val="00040EBA"/>
    <w:rsid w:val="00041033"/>
    <w:rsid w:val="000410D4"/>
    <w:rsid w:val="00041F85"/>
    <w:rsid w:val="00042B78"/>
    <w:rsid w:val="00044177"/>
    <w:rsid w:val="00052A0E"/>
    <w:rsid w:val="00052E00"/>
    <w:rsid w:val="00053B10"/>
    <w:rsid w:val="0006031D"/>
    <w:rsid w:val="000604EC"/>
    <w:rsid w:val="00065069"/>
    <w:rsid w:val="0006741F"/>
    <w:rsid w:val="00071D6A"/>
    <w:rsid w:val="00072299"/>
    <w:rsid w:val="00075DE7"/>
    <w:rsid w:val="0007636A"/>
    <w:rsid w:val="000763B1"/>
    <w:rsid w:val="00077CD4"/>
    <w:rsid w:val="000811F4"/>
    <w:rsid w:val="000875A2"/>
    <w:rsid w:val="00087CE5"/>
    <w:rsid w:val="00090C01"/>
    <w:rsid w:val="000920CB"/>
    <w:rsid w:val="00094946"/>
    <w:rsid w:val="00097935"/>
    <w:rsid w:val="000A1376"/>
    <w:rsid w:val="000A24A7"/>
    <w:rsid w:val="000A30CE"/>
    <w:rsid w:val="000A4746"/>
    <w:rsid w:val="000A4798"/>
    <w:rsid w:val="000A5152"/>
    <w:rsid w:val="000B0080"/>
    <w:rsid w:val="000B158E"/>
    <w:rsid w:val="000B1904"/>
    <w:rsid w:val="000B1AE6"/>
    <w:rsid w:val="000B2FD3"/>
    <w:rsid w:val="000C0A77"/>
    <w:rsid w:val="000C2CD2"/>
    <w:rsid w:val="000C333D"/>
    <w:rsid w:val="000C3876"/>
    <w:rsid w:val="000C3A07"/>
    <w:rsid w:val="000C461E"/>
    <w:rsid w:val="000C60E3"/>
    <w:rsid w:val="000D55D8"/>
    <w:rsid w:val="000D6B56"/>
    <w:rsid w:val="000E37F1"/>
    <w:rsid w:val="000E4C3A"/>
    <w:rsid w:val="000E4E48"/>
    <w:rsid w:val="000E6C15"/>
    <w:rsid w:val="000E72F4"/>
    <w:rsid w:val="000F3E42"/>
    <w:rsid w:val="000F4957"/>
    <w:rsid w:val="00100099"/>
    <w:rsid w:val="00100217"/>
    <w:rsid w:val="001031CF"/>
    <w:rsid w:val="0010514F"/>
    <w:rsid w:val="001102D8"/>
    <w:rsid w:val="00126A9F"/>
    <w:rsid w:val="00130714"/>
    <w:rsid w:val="001334E3"/>
    <w:rsid w:val="0013779D"/>
    <w:rsid w:val="0014137D"/>
    <w:rsid w:val="00146F0A"/>
    <w:rsid w:val="00150AC1"/>
    <w:rsid w:val="00152CD3"/>
    <w:rsid w:val="00153303"/>
    <w:rsid w:val="00156253"/>
    <w:rsid w:val="0016689A"/>
    <w:rsid w:val="00170D5B"/>
    <w:rsid w:val="00171B28"/>
    <w:rsid w:val="00173C07"/>
    <w:rsid w:val="00173DDE"/>
    <w:rsid w:val="001766CE"/>
    <w:rsid w:val="00176E68"/>
    <w:rsid w:val="00177D3C"/>
    <w:rsid w:val="001827FD"/>
    <w:rsid w:val="00183D7C"/>
    <w:rsid w:val="0018465C"/>
    <w:rsid w:val="00187003"/>
    <w:rsid w:val="0018710D"/>
    <w:rsid w:val="00191F09"/>
    <w:rsid w:val="00191F82"/>
    <w:rsid w:val="00192A32"/>
    <w:rsid w:val="00192B62"/>
    <w:rsid w:val="00197D01"/>
    <w:rsid w:val="00197E38"/>
    <w:rsid w:val="00197E8B"/>
    <w:rsid w:val="001A18A3"/>
    <w:rsid w:val="001A2C2C"/>
    <w:rsid w:val="001A4B74"/>
    <w:rsid w:val="001B17A8"/>
    <w:rsid w:val="001B2819"/>
    <w:rsid w:val="001B3325"/>
    <w:rsid w:val="001B4663"/>
    <w:rsid w:val="001B509A"/>
    <w:rsid w:val="001B6045"/>
    <w:rsid w:val="001C4132"/>
    <w:rsid w:val="001C618B"/>
    <w:rsid w:val="001C667C"/>
    <w:rsid w:val="001C7DC3"/>
    <w:rsid w:val="001D1857"/>
    <w:rsid w:val="001D2375"/>
    <w:rsid w:val="001D7EEB"/>
    <w:rsid w:val="001E06C2"/>
    <w:rsid w:val="001E07A9"/>
    <w:rsid w:val="001E1076"/>
    <w:rsid w:val="001E3DB2"/>
    <w:rsid w:val="001E5B47"/>
    <w:rsid w:val="001E73A8"/>
    <w:rsid w:val="001F166F"/>
    <w:rsid w:val="001F3C91"/>
    <w:rsid w:val="001F4CCB"/>
    <w:rsid w:val="001F4D6A"/>
    <w:rsid w:val="001F7839"/>
    <w:rsid w:val="001F7AA3"/>
    <w:rsid w:val="00200126"/>
    <w:rsid w:val="00202656"/>
    <w:rsid w:val="00202F9C"/>
    <w:rsid w:val="00210C0F"/>
    <w:rsid w:val="002111ED"/>
    <w:rsid w:val="002112D3"/>
    <w:rsid w:val="002121E5"/>
    <w:rsid w:val="002124C7"/>
    <w:rsid w:val="00212A84"/>
    <w:rsid w:val="002134AE"/>
    <w:rsid w:val="002155D4"/>
    <w:rsid w:val="002160EE"/>
    <w:rsid w:val="002246DC"/>
    <w:rsid w:val="00224881"/>
    <w:rsid w:val="00225E38"/>
    <w:rsid w:val="00227E99"/>
    <w:rsid w:val="002319B4"/>
    <w:rsid w:val="00233E6F"/>
    <w:rsid w:val="00233FFA"/>
    <w:rsid w:val="00235CE2"/>
    <w:rsid w:val="002367E7"/>
    <w:rsid w:val="002370C1"/>
    <w:rsid w:val="00237627"/>
    <w:rsid w:val="0024124B"/>
    <w:rsid w:val="00241B2C"/>
    <w:rsid w:val="00244440"/>
    <w:rsid w:val="00244A71"/>
    <w:rsid w:val="00245393"/>
    <w:rsid w:val="00246AEC"/>
    <w:rsid w:val="002473A6"/>
    <w:rsid w:val="00250E28"/>
    <w:rsid w:val="00255E52"/>
    <w:rsid w:val="00261CAB"/>
    <w:rsid w:val="00264A11"/>
    <w:rsid w:val="00265A8B"/>
    <w:rsid w:val="00270510"/>
    <w:rsid w:val="00270EF7"/>
    <w:rsid w:val="002728A7"/>
    <w:rsid w:val="002744F0"/>
    <w:rsid w:val="00274634"/>
    <w:rsid w:val="00276079"/>
    <w:rsid w:val="00277D0B"/>
    <w:rsid w:val="002833BE"/>
    <w:rsid w:val="00285E6C"/>
    <w:rsid w:val="00291575"/>
    <w:rsid w:val="00296FC1"/>
    <w:rsid w:val="002A2A09"/>
    <w:rsid w:val="002A3EDE"/>
    <w:rsid w:val="002A43B0"/>
    <w:rsid w:val="002A5E01"/>
    <w:rsid w:val="002B1271"/>
    <w:rsid w:val="002B137C"/>
    <w:rsid w:val="002B49D2"/>
    <w:rsid w:val="002C0919"/>
    <w:rsid w:val="002C29B8"/>
    <w:rsid w:val="002C2C4A"/>
    <w:rsid w:val="002C2FFD"/>
    <w:rsid w:val="002C5E87"/>
    <w:rsid w:val="002C60B5"/>
    <w:rsid w:val="002D12D7"/>
    <w:rsid w:val="002D2445"/>
    <w:rsid w:val="002D2809"/>
    <w:rsid w:val="002D43C1"/>
    <w:rsid w:val="002D4E75"/>
    <w:rsid w:val="002D681A"/>
    <w:rsid w:val="002D7ABD"/>
    <w:rsid w:val="002E0B6C"/>
    <w:rsid w:val="002E4BFB"/>
    <w:rsid w:val="002E7FAC"/>
    <w:rsid w:val="002F1867"/>
    <w:rsid w:val="002F7643"/>
    <w:rsid w:val="00300064"/>
    <w:rsid w:val="00306DE9"/>
    <w:rsid w:val="0030748B"/>
    <w:rsid w:val="00307E99"/>
    <w:rsid w:val="00310811"/>
    <w:rsid w:val="00310A73"/>
    <w:rsid w:val="003117B7"/>
    <w:rsid w:val="00322BF1"/>
    <w:rsid w:val="0032482E"/>
    <w:rsid w:val="00324F81"/>
    <w:rsid w:val="00327556"/>
    <w:rsid w:val="00333F26"/>
    <w:rsid w:val="003351F7"/>
    <w:rsid w:val="00335AC5"/>
    <w:rsid w:val="00335E2A"/>
    <w:rsid w:val="003369AE"/>
    <w:rsid w:val="0034063B"/>
    <w:rsid w:val="00341093"/>
    <w:rsid w:val="00341B37"/>
    <w:rsid w:val="00345ACB"/>
    <w:rsid w:val="00346171"/>
    <w:rsid w:val="00347A95"/>
    <w:rsid w:val="00353280"/>
    <w:rsid w:val="0035351E"/>
    <w:rsid w:val="00360FBD"/>
    <w:rsid w:val="00367F0E"/>
    <w:rsid w:val="003718D3"/>
    <w:rsid w:val="0037274B"/>
    <w:rsid w:val="00373460"/>
    <w:rsid w:val="00374B16"/>
    <w:rsid w:val="003816AA"/>
    <w:rsid w:val="00382952"/>
    <w:rsid w:val="00384394"/>
    <w:rsid w:val="00384A4E"/>
    <w:rsid w:val="00384E0B"/>
    <w:rsid w:val="00393152"/>
    <w:rsid w:val="00394690"/>
    <w:rsid w:val="003A01BC"/>
    <w:rsid w:val="003A1403"/>
    <w:rsid w:val="003A36C0"/>
    <w:rsid w:val="003A4212"/>
    <w:rsid w:val="003A586B"/>
    <w:rsid w:val="003B1531"/>
    <w:rsid w:val="003B439D"/>
    <w:rsid w:val="003B62EB"/>
    <w:rsid w:val="003B633F"/>
    <w:rsid w:val="003C0297"/>
    <w:rsid w:val="003C28F1"/>
    <w:rsid w:val="003C2DB0"/>
    <w:rsid w:val="003C38C1"/>
    <w:rsid w:val="003C6B88"/>
    <w:rsid w:val="003D6A47"/>
    <w:rsid w:val="003E27D8"/>
    <w:rsid w:val="003E5209"/>
    <w:rsid w:val="003E5860"/>
    <w:rsid w:val="003E6E27"/>
    <w:rsid w:val="003E7B7D"/>
    <w:rsid w:val="003F1EC6"/>
    <w:rsid w:val="003F4778"/>
    <w:rsid w:val="003F6517"/>
    <w:rsid w:val="00400DCC"/>
    <w:rsid w:val="0040343E"/>
    <w:rsid w:val="004120CF"/>
    <w:rsid w:val="00412E8C"/>
    <w:rsid w:val="00413AE8"/>
    <w:rsid w:val="00413D46"/>
    <w:rsid w:val="00413EC8"/>
    <w:rsid w:val="00415D8A"/>
    <w:rsid w:val="004222E7"/>
    <w:rsid w:val="00426053"/>
    <w:rsid w:val="00427A17"/>
    <w:rsid w:val="0043052F"/>
    <w:rsid w:val="0043205C"/>
    <w:rsid w:val="00432A9D"/>
    <w:rsid w:val="004332D6"/>
    <w:rsid w:val="0043596F"/>
    <w:rsid w:val="0043627B"/>
    <w:rsid w:val="00437AD7"/>
    <w:rsid w:val="0044078F"/>
    <w:rsid w:val="00441749"/>
    <w:rsid w:val="00442DBB"/>
    <w:rsid w:val="00443DCD"/>
    <w:rsid w:val="00446D19"/>
    <w:rsid w:val="00446FB1"/>
    <w:rsid w:val="004518B9"/>
    <w:rsid w:val="004535A9"/>
    <w:rsid w:val="004616D7"/>
    <w:rsid w:val="0046208A"/>
    <w:rsid w:val="00463FDF"/>
    <w:rsid w:val="004644EB"/>
    <w:rsid w:val="00465F96"/>
    <w:rsid w:val="0046627E"/>
    <w:rsid w:val="004670B3"/>
    <w:rsid w:val="00473916"/>
    <w:rsid w:val="00475395"/>
    <w:rsid w:val="00481918"/>
    <w:rsid w:val="00485B26"/>
    <w:rsid w:val="00487954"/>
    <w:rsid w:val="00491CF0"/>
    <w:rsid w:val="00492DE0"/>
    <w:rsid w:val="0049358D"/>
    <w:rsid w:val="00493E08"/>
    <w:rsid w:val="00494CCA"/>
    <w:rsid w:val="004964FA"/>
    <w:rsid w:val="004965DD"/>
    <w:rsid w:val="004A01AA"/>
    <w:rsid w:val="004A4068"/>
    <w:rsid w:val="004A432A"/>
    <w:rsid w:val="004A7A20"/>
    <w:rsid w:val="004A7BEA"/>
    <w:rsid w:val="004B087D"/>
    <w:rsid w:val="004B0E2C"/>
    <w:rsid w:val="004B1324"/>
    <w:rsid w:val="004B1DCA"/>
    <w:rsid w:val="004B2E2C"/>
    <w:rsid w:val="004B4CEC"/>
    <w:rsid w:val="004B66F2"/>
    <w:rsid w:val="004B71AC"/>
    <w:rsid w:val="004B7E1B"/>
    <w:rsid w:val="004C0083"/>
    <w:rsid w:val="004C0E5F"/>
    <w:rsid w:val="004C1C51"/>
    <w:rsid w:val="004C32CB"/>
    <w:rsid w:val="004C33F1"/>
    <w:rsid w:val="004C747F"/>
    <w:rsid w:val="004D669D"/>
    <w:rsid w:val="004E31C9"/>
    <w:rsid w:val="004E386E"/>
    <w:rsid w:val="004E7D82"/>
    <w:rsid w:val="004F49E3"/>
    <w:rsid w:val="004F4C29"/>
    <w:rsid w:val="004F5440"/>
    <w:rsid w:val="004F5B05"/>
    <w:rsid w:val="004F5B9B"/>
    <w:rsid w:val="004F6FC9"/>
    <w:rsid w:val="00506BFF"/>
    <w:rsid w:val="0051100A"/>
    <w:rsid w:val="00511461"/>
    <w:rsid w:val="00511812"/>
    <w:rsid w:val="00516DC8"/>
    <w:rsid w:val="0052257F"/>
    <w:rsid w:val="00522D4A"/>
    <w:rsid w:val="005249CB"/>
    <w:rsid w:val="00524E2B"/>
    <w:rsid w:val="00531A28"/>
    <w:rsid w:val="0053725C"/>
    <w:rsid w:val="00537B45"/>
    <w:rsid w:val="00546B7C"/>
    <w:rsid w:val="005504B4"/>
    <w:rsid w:val="0055222A"/>
    <w:rsid w:val="00553341"/>
    <w:rsid w:val="00553724"/>
    <w:rsid w:val="00553D43"/>
    <w:rsid w:val="00556EF6"/>
    <w:rsid w:val="0055735C"/>
    <w:rsid w:val="00562F1A"/>
    <w:rsid w:val="00563FF7"/>
    <w:rsid w:val="005652BE"/>
    <w:rsid w:val="00565715"/>
    <w:rsid w:val="005667E2"/>
    <w:rsid w:val="005678DD"/>
    <w:rsid w:val="0057009A"/>
    <w:rsid w:val="00570B3D"/>
    <w:rsid w:val="005715F2"/>
    <w:rsid w:val="00571CC4"/>
    <w:rsid w:val="00572288"/>
    <w:rsid w:val="0057309A"/>
    <w:rsid w:val="0057432A"/>
    <w:rsid w:val="00574C77"/>
    <w:rsid w:val="005775CE"/>
    <w:rsid w:val="005804B3"/>
    <w:rsid w:val="00581F1B"/>
    <w:rsid w:val="0058238F"/>
    <w:rsid w:val="00584869"/>
    <w:rsid w:val="005925A6"/>
    <w:rsid w:val="005A036D"/>
    <w:rsid w:val="005A1177"/>
    <w:rsid w:val="005A1A70"/>
    <w:rsid w:val="005A26D3"/>
    <w:rsid w:val="005A2999"/>
    <w:rsid w:val="005A73A5"/>
    <w:rsid w:val="005B4486"/>
    <w:rsid w:val="005C14D7"/>
    <w:rsid w:val="005C1944"/>
    <w:rsid w:val="005C60F4"/>
    <w:rsid w:val="005C63A7"/>
    <w:rsid w:val="005D08FA"/>
    <w:rsid w:val="005D1802"/>
    <w:rsid w:val="005D33A4"/>
    <w:rsid w:val="005D73EC"/>
    <w:rsid w:val="005E2572"/>
    <w:rsid w:val="005E501C"/>
    <w:rsid w:val="005E7AF1"/>
    <w:rsid w:val="005F043B"/>
    <w:rsid w:val="005F0EC5"/>
    <w:rsid w:val="005F23FE"/>
    <w:rsid w:val="005F32E5"/>
    <w:rsid w:val="006025E1"/>
    <w:rsid w:val="0060372D"/>
    <w:rsid w:val="00604B61"/>
    <w:rsid w:val="00604B72"/>
    <w:rsid w:val="00604DD6"/>
    <w:rsid w:val="0060644C"/>
    <w:rsid w:val="006075B3"/>
    <w:rsid w:val="00612EAF"/>
    <w:rsid w:val="006207A1"/>
    <w:rsid w:val="00621BFE"/>
    <w:rsid w:val="006226C7"/>
    <w:rsid w:val="00627B94"/>
    <w:rsid w:val="00631E7E"/>
    <w:rsid w:val="006371E8"/>
    <w:rsid w:val="00637B6C"/>
    <w:rsid w:val="0064131B"/>
    <w:rsid w:val="00641AA2"/>
    <w:rsid w:val="00641B4B"/>
    <w:rsid w:val="0064215A"/>
    <w:rsid w:val="00642869"/>
    <w:rsid w:val="00643637"/>
    <w:rsid w:val="00646117"/>
    <w:rsid w:val="00646168"/>
    <w:rsid w:val="00647A3D"/>
    <w:rsid w:val="006517C5"/>
    <w:rsid w:val="00651813"/>
    <w:rsid w:val="0065386E"/>
    <w:rsid w:val="006570FD"/>
    <w:rsid w:val="00660976"/>
    <w:rsid w:val="006611A6"/>
    <w:rsid w:val="006614C8"/>
    <w:rsid w:val="006623D5"/>
    <w:rsid w:val="0066419E"/>
    <w:rsid w:val="00673B08"/>
    <w:rsid w:val="00674E8B"/>
    <w:rsid w:val="00677896"/>
    <w:rsid w:val="00684407"/>
    <w:rsid w:val="00687537"/>
    <w:rsid w:val="00691758"/>
    <w:rsid w:val="00691D02"/>
    <w:rsid w:val="00697458"/>
    <w:rsid w:val="006A0650"/>
    <w:rsid w:val="006A069B"/>
    <w:rsid w:val="006A3F96"/>
    <w:rsid w:val="006A4294"/>
    <w:rsid w:val="006A52E3"/>
    <w:rsid w:val="006A6BB4"/>
    <w:rsid w:val="006B0F98"/>
    <w:rsid w:val="006B2398"/>
    <w:rsid w:val="006B5A0C"/>
    <w:rsid w:val="006C0279"/>
    <w:rsid w:val="006C1B0B"/>
    <w:rsid w:val="006C6B66"/>
    <w:rsid w:val="006D055A"/>
    <w:rsid w:val="006D35F9"/>
    <w:rsid w:val="006D43CB"/>
    <w:rsid w:val="006D4825"/>
    <w:rsid w:val="006D52BE"/>
    <w:rsid w:val="006D62B8"/>
    <w:rsid w:val="006D7517"/>
    <w:rsid w:val="006E2FCF"/>
    <w:rsid w:val="006E3114"/>
    <w:rsid w:val="006E4173"/>
    <w:rsid w:val="006E7EC1"/>
    <w:rsid w:val="006E7FC5"/>
    <w:rsid w:val="006F01D3"/>
    <w:rsid w:val="006F4316"/>
    <w:rsid w:val="006F4FD9"/>
    <w:rsid w:val="006F52B2"/>
    <w:rsid w:val="006F6D5D"/>
    <w:rsid w:val="00701483"/>
    <w:rsid w:val="007021DB"/>
    <w:rsid w:val="0070619D"/>
    <w:rsid w:val="00706964"/>
    <w:rsid w:val="00706A36"/>
    <w:rsid w:val="007076B4"/>
    <w:rsid w:val="007116E1"/>
    <w:rsid w:val="0071182D"/>
    <w:rsid w:val="00712472"/>
    <w:rsid w:val="0071529D"/>
    <w:rsid w:val="00721ABD"/>
    <w:rsid w:val="00722502"/>
    <w:rsid w:val="0072452A"/>
    <w:rsid w:val="00724C4F"/>
    <w:rsid w:val="00726BE5"/>
    <w:rsid w:val="00730213"/>
    <w:rsid w:val="00734B4B"/>
    <w:rsid w:val="0073518A"/>
    <w:rsid w:val="00742B4B"/>
    <w:rsid w:val="00743C4E"/>
    <w:rsid w:val="00743EEC"/>
    <w:rsid w:val="00743F65"/>
    <w:rsid w:val="00744763"/>
    <w:rsid w:val="0074571E"/>
    <w:rsid w:val="00746275"/>
    <w:rsid w:val="007463C5"/>
    <w:rsid w:val="00755136"/>
    <w:rsid w:val="0075629A"/>
    <w:rsid w:val="00760950"/>
    <w:rsid w:val="00763433"/>
    <w:rsid w:val="00763539"/>
    <w:rsid w:val="007637B1"/>
    <w:rsid w:val="00763993"/>
    <w:rsid w:val="00764B4E"/>
    <w:rsid w:val="00767A33"/>
    <w:rsid w:val="00770825"/>
    <w:rsid w:val="007741E1"/>
    <w:rsid w:val="007755CC"/>
    <w:rsid w:val="00780F9F"/>
    <w:rsid w:val="00783FE0"/>
    <w:rsid w:val="00786B86"/>
    <w:rsid w:val="00786DB8"/>
    <w:rsid w:val="00787D80"/>
    <w:rsid w:val="007935B7"/>
    <w:rsid w:val="00795679"/>
    <w:rsid w:val="007A07D7"/>
    <w:rsid w:val="007A0AF1"/>
    <w:rsid w:val="007A3031"/>
    <w:rsid w:val="007A4F9E"/>
    <w:rsid w:val="007B4E04"/>
    <w:rsid w:val="007C2059"/>
    <w:rsid w:val="007C4F7B"/>
    <w:rsid w:val="007D08E3"/>
    <w:rsid w:val="007D0B4F"/>
    <w:rsid w:val="007D0C66"/>
    <w:rsid w:val="007D15FE"/>
    <w:rsid w:val="007D411F"/>
    <w:rsid w:val="007D41A4"/>
    <w:rsid w:val="007D4F13"/>
    <w:rsid w:val="007E02B1"/>
    <w:rsid w:val="007E276C"/>
    <w:rsid w:val="007E2D2D"/>
    <w:rsid w:val="007E342D"/>
    <w:rsid w:val="007F0DF9"/>
    <w:rsid w:val="007F1DB4"/>
    <w:rsid w:val="007F261B"/>
    <w:rsid w:val="007F2947"/>
    <w:rsid w:val="007F3761"/>
    <w:rsid w:val="007F411A"/>
    <w:rsid w:val="007F6653"/>
    <w:rsid w:val="008006FD"/>
    <w:rsid w:val="00803D6A"/>
    <w:rsid w:val="008064DA"/>
    <w:rsid w:val="008067CA"/>
    <w:rsid w:val="00811B69"/>
    <w:rsid w:val="00811E04"/>
    <w:rsid w:val="00812D60"/>
    <w:rsid w:val="008166DD"/>
    <w:rsid w:val="0081711D"/>
    <w:rsid w:val="00822865"/>
    <w:rsid w:val="00826938"/>
    <w:rsid w:val="00827157"/>
    <w:rsid w:val="008276BE"/>
    <w:rsid w:val="00831BBF"/>
    <w:rsid w:val="00832BB6"/>
    <w:rsid w:val="0083515A"/>
    <w:rsid w:val="008356F3"/>
    <w:rsid w:val="00836FBE"/>
    <w:rsid w:val="0083731F"/>
    <w:rsid w:val="00841967"/>
    <w:rsid w:val="00844262"/>
    <w:rsid w:val="0084774A"/>
    <w:rsid w:val="008539C0"/>
    <w:rsid w:val="008543B0"/>
    <w:rsid w:val="00857DD4"/>
    <w:rsid w:val="00860345"/>
    <w:rsid w:val="00860D86"/>
    <w:rsid w:val="00862001"/>
    <w:rsid w:val="00862BA4"/>
    <w:rsid w:val="00862E56"/>
    <w:rsid w:val="00864F98"/>
    <w:rsid w:val="00872B05"/>
    <w:rsid w:val="00874CB7"/>
    <w:rsid w:val="008761C0"/>
    <w:rsid w:val="0088000D"/>
    <w:rsid w:val="00882378"/>
    <w:rsid w:val="0088280F"/>
    <w:rsid w:val="00884B9E"/>
    <w:rsid w:val="008857E3"/>
    <w:rsid w:val="00887523"/>
    <w:rsid w:val="008912F0"/>
    <w:rsid w:val="0089322A"/>
    <w:rsid w:val="00894163"/>
    <w:rsid w:val="0089464D"/>
    <w:rsid w:val="0089610A"/>
    <w:rsid w:val="008A4A6D"/>
    <w:rsid w:val="008A4F9F"/>
    <w:rsid w:val="008B3109"/>
    <w:rsid w:val="008B429B"/>
    <w:rsid w:val="008C2EE4"/>
    <w:rsid w:val="008C6B09"/>
    <w:rsid w:val="008D464F"/>
    <w:rsid w:val="008D4A08"/>
    <w:rsid w:val="008D62C5"/>
    <w:rsid w:val="008D7F6C"/>
    <w:rsid w:val="008E0E68"/>
    <w:rsid w:val="008E1113"/>
    <w:rsid w:val="008E195D"/>
    <w:rsid w:val="008E2A57"/>
    <w:rsid w:val="008F36D4"/>
    <w:rsid w:val="008F40EF"/>
    <w:rsid w:val="008F42F7"/>
    <w:rsid w:val="008F740B"/>
    <w:rsid w:val="009055B1"/>
    <w:rsid w:val="00906F0D"/>
    <w:rsid w:val="00906F60"/>
    <w:rsid w:val="0091102D"/>
    <w:rsid w:val="009116D8"/>
    <w:rsid w:val="00912648"/>
    <w:rsid w:val="009150D2"/>
    <w:rsid w:val="0091575E"/>
    <w:rsid w:val="00915978"/>
    <w:rsid w:val="00916549"/>
    <w:rsid w:val="00921CC5"/>
    <w:rsid w:val="00922812"/>
    <w:rsid w:val="00922C18"/>
    <w:rsid w:val="00925153"/>
    <w:rsid w:val="0093468B"/>
    <w:rsid w:val="0093710E"/>
    <w:rsid w:val="00940448"/>
    <w:rsid w:val="00942269"/>
    <w:rsid w:val="0094292B"/>
    <w:rsid w:val="009452C1"/>
    <w:rsid w:val="00947830"/>
    <w:rsid w:val="00947A00"/>
    <w:rsid w:val="0095213F"/>
    <w:rsid w:val="00952E0E"/>
    <w:rsid w:val="00955E91"/>
    <w:rsid w:val="00956461"/>
    <w:rsid w:val="00956B2D"/>
    <w:rsid w:val="0095753C"/>
    <w:rsid w:val="00957634"/>
    <w:rsid w:val="009651BE"/>
    <w:rsid w:val="00965D93"/>
    <w:rsid w:val="00967384"/>
    <w:rsid w:val="00970297"/>
    <w:rsid w:val="00972D83"/>
    <w:rsid w:val="00972DCB"/>
    <w:rsid w:val="00972F04"/>
    <w:rsid w:val="00974BA9"/>
    <w:rsid w:val="00980C89"/>
    <w:rsid w:val="00981CF9"/>
    <w:rsid w:val="00982BF3"/>
    <w:rsid w:val="00987CC5"/>
    <w:rsid w:val="00987E11"/>
    <w:rsid w:val="009940AF"/>
    <w:rsid w:val="009949D5"/>
    <w:rsid w:val="009A097F"/>
    <w:rsid w:val="009A7522"/>
    <w:rsid w:val="009B06C9"/>
    <w:rsid w:val="009B0C5F"/>
    <w:rsid w:val="009B3941"/>
    <w:rsid w:val="009B5FC5"/>
    <w:rsid w:val="009B7B35"/>
    <w:rsid w:val="009C067C"/>
    <w:rsid w:val="009C5BC6"/>
    <w:rsid w:val="009D2D99"/>
    <w:rsid w:val="009D2E15"/>
    <w:rsid w:val="009D7DFC"/>
    <w:rsid w:val="009E1050"/>
    <w:rsid w:val="009E1390"/>
    <w:rsid w:val="009E6B9B"/>
    <w:rsid w:val="009F4219"/>
    <w:rsid w:val="009F6291"/>
    <w:rsid w:val="009F63D1"/>
    <w:rsid w:val="009F64DF"/>
    <w:rsid w:val="00A00F0A"/>
    <w:rsid w:val="00A0215C"/>
    <w:rsid w:val="00A026FB"/>
    <w:rsid w:val="00A02A6E"/>
    <w:rsid w:val="00A06889"/>
    <w:rsid w:val="00A10539"/>
    <w:rsid w:val="00A136E4"/>
    <w:rsid w:val="00A14F47"/>
    <w:rsid w:val="00A16064"/>
    <w:rsid w:val="00A170C0"/>
    <w:rsid w:val="00A17648"/>
    <w:rsid w:val="00A2005E"/>
    <w:rsid w:val="00A2232A"/>
    <w:rsid w:val="00A241DF"/>
    <w:rsid w:val="00A253DA"/>
    <w:rsid w:val="00A2659A"/>
    <w:rsid w:val="00A26934"/>
    <w:rsid w:val="00A2717B"/>
    <w:rsid w:val="00A323D4"/>
    <w:rsid w:val="00A32B46"/>
    <w:rsid w:val="00A3441B"/>
    <w:rsid w:val="00A37EFF"/>
    <w:rsid w:val="00A4022B"/>
    <w:rsid w:val="00A40437"/>
    <w:rsid w:val="00A42458"/>
    <w:rsid w:val="00A43713"/>
    <w:rsid w:val="00A4533E"/>
    <w:rsid w:val="00A45788"/>
    <w:rsid w:val="00A50566"/>
    <w:rsid w:val="00A50960"/>
    <w:rsid w:val="00A51503"/>
    <w:rsid w:val="00A51859"/>
    <w:rsid w:val="00A53A3A"/>
    <w:rsid w:val="00A54A27"/>
    <w:rsid w:val="00A5675D"/>
    <w:rsid w:val="00A5723B"/>
    <w:rsid w:val="00A60949"/>
    <w:rsid w:val="00A63490"/>
    <w:rsid w:val="00A64317"/>
    <w:rsid w:val="00A65478"/>
    <w:rsid w:val="00A660C6"/>
    <w:rsid w:val="00A667E6"/>
    <w:rsid w:val="00A71DA8"/>
    <w:rsid w:val="00A73B6F"/>
    <w:rsid w:val="00A7523C"/>
    <w:rsid w:val="00A75848"/>
    <w:rsid w:val="00A80119"/>
    <w:rsid w:val="00A81736"/>
    <w:rsid w:val="00A82B82"/>
    <w:rsid w:val="00A8323F"/>
    <w:rsid w:val="00A8567B"/>
    <w:rsid w:val="00A87F17"/>
    <w:rsid w:val="00A92D5A"/>
    <w:rsid w:val="00AA280A"/>
    <w:rsid w:val="00AA2C87"/>
    <w:rsid w:val="00AA46FF"/>
    <w:rsid w:val="00AA499D"/>
    <w:rsid w:val="00AA5225"/>
    <w:rsid w:val="00AA730A"/>
    <w:rsid w:val="00AA794E"/>
    <w:rsid w:val="00AB0545"/>
    <w:rsid w:val="00AB145C"/>
    <w:rsid w:val="00AB3A97"/>
    <w:rsid w:val="00AB4D30"/>
    <w:rsid w:val="00AB66C1"/>
    <w:rsid w:val="00AC47CD"/>
    <w:rsid w:val="00AC778F"/>
    <w:rsid w:val="00AC7FD1"/>
    <w:rsid w:val="00AD1073"/>
    <w:rsid w:val="00AD1E3A"/>
    <w:rsid w:val="00AD3936"/>
    <w:rsid w:val="00AD40F3"/>
    <w:rsid w:val="00AD724B"/>
    <w:rsid w:val="00AD77A0"/>
    <w:rsid w:val="00AD78DF"/>
    <w:rsid w:val="00AD7C6B"/>
    <w:rsid w:val="00AE3153"/>
    <w:rsid w:val="00AE3E4F"/>
    <w:rsid w:val="00AE4EA7"/>
    <w:rsid w:val="00AF00A5"/>
    <w:rsid w:val="00AF022D"/>
    <w:rsid w:val="00AF2197"/>
    <w:rsid w:val="00AF25DB"/>
    <w:rsid w:val="00AF2D2E"/>
    <w:rsid w:val="00AF59F9"/>
    <w:rsid w:val="00AF62F5"/>
    <w:rsid w:val="00AF6AC5"/>
    <w:rsid w:val="00B00CE2"/>
    <w:rsid w:val="00B04951"/>
    <w:rsid w:val="00B05F02"/>
    <w:rsid w:val="00B0667A"/>
    <w:rsid w:val="00B1007F"/>
    <w:rsid w:val="00B1093B"/>
    <w:rsid w:val="00B12B9A"/>
    <w:rsid w:val="00B15BC4"/>
    <w:rsid w:val="00B17BEF"/>
    <w:rsid w:val="00B17EB3"/>
    <w:rsid w:val="00B22CCE"/>
    <w:rsid w:val="00B23652"/>
    <w:rsid w:val="00B2421F"/>
    <w:rsid w:val="00B316C3"/>
    <w:rsid w:val="00B31BEC"/>
    <w:rsid w:val="00B331B3"/>
    <w:rsid w:val="00B42859"/>
    <w:rsid w:val="00B43503"/>
    <w:rsid w:val="00B4646F"/>
    <w:rsid w:val="00B46D29"/>
    <w:rsid w:val="00B47EA6"/>
    <w:rsid w:val="00B574EE"/>
    <w:rsid w:val="00B57B8F"/>
    <w:rsid w:val="00B6033C"/>
    <w:rsid w:val="00B6064C"/>
    <w:rsid w:val="00B60881"/>
    <w:rsid w:val="00B61811"/>
    <w:rsid w:val="00B6613C"/>
    <w:rsid w:val="00B73350"/>
    <w:rsid w:val="00B75C79"/>
    <w:rsid w:val="00B77901"/>
    <w:rsid w:val="00B8060D"/>
    <w:rsid w:val="00B835C7"/>
    <w:rsid w:val="00B85AAE"/>
    <w:rsid w:val="00B85B62"/>
    <w:rsid w:val="00B9287D"/>
    <w:rsid w:val="00B93A93"/>
    <w:rsid w:val="00B9514E"/>
    <w:rsid w:val="00B95585"/>
    <w:rsid w:val="00B95959"/>
    <w:rsid w:val="00B95D7C"/>
    <w:rsid w:val="00BA0C97"/>
    <w:rsid w:val="00BA0F08"/>
    <w:rsid w:val="00BA33E6"/>
    <w:rsid w:val="00BB04E7"/>
    <w:rsid w:val="00BB38F1"/>
    <w:rsid w:val="00BB4E25"/>
    <w:rsid w:val="00BB7AFB"/>
    <w:rsid w:val="00BC2500"/>
    <w:rsid w:val="00BC5761"/>
    <w:rsid w:val="00BC59C3"/>
    <w:rsid w:val="00BC735F"/>
    <w:rsid w:val="00BD096A"/>
    <w:rsid w:val="00BD0D5C"/>
    <w:rsid w:val="00BD0DE9"/>
    <w:rsid w:val="00BD7809"/>
    <w:rsid w:val="00BE140F"/>
    <w:rsid w:val="00BE2A90"/>
    <w:rsid w:val="00BE38C1"/>
    <w:rsid w:val="00BE4B94"/>
    <w:rsid w:val="00BE68C8"/>
    <w:rsid w:val="00BE6F8F"/>
    <w:rsid w:val="00BF189C"/>
    <w:rsid w:val="00BF3C8A"/>
    <w:rsid w:val="00BF4B4A"/>
    <w:rsid w:val="00BF6B25"/>
    <w:rsid w:val="00C015B2"/>
    <w:rsid w:val="00C045A7"/>
    <w:rsid w:val="00C04A43"/>
    <w:rsid w:val="00C04D5C"/>
    <w:rsid w:val="00C079C4"/>
    <w:rsid w:val="00C141C1"/>
    <w:rsid w:val="00C151A5"/>
    <w:rsid w:val="00C210D7"/>
    <w:rsid w:val="00C225E3"/>
    <w:rsid w:val="00C235EA"/>
    <w:rsid w:val="00C23AEB"/>
    <w:rsid w:val="00C27423"/>
    <w:rsid w:val="00C3165C"/>
    <w:rsid w:val="00C33EA5"/>
    <w:rsid w:val="00C41DCF"/>
    <w:rsid w:val="00C44C0C"/>
    <w:rsid w:val="00C46E18"/>
    <w:rsid w:val="00C50123"/>
    <w:rsid w:val="00C60EF4"/>
    <w:rsid w:val="00C62D0A"/>
    <w:rsid w:val="00C63A97"/>
    <w:rsid w:val="00C63CA8"/>
    <w:rsid w:val="00C656DC"/>
    <w:rsid w:val="00C65CC7"/>
    <w:rsid w:val="00C660C0"/>
    <w:rsid w:val="00C67355"/>
    <w:rsid w:val="00C67719"/>
    <w:rsid w:val="00C7155E"/>
    <w:rsid w:val="00C73455"/>
    <w:rsid w:val="00C73463"/>
    <w:rsid w:val="00C744D4"/>
    <w:rsid w:val="00C749C4"/>
    <w:rsid w:val="00C74FC6"/>
    <w:rsid w:val="00C753B2"/>
    <w:rsid w:val="00C81D6A"/>
    <w:rsid w:val="00C87AE9"/>
    <w:rsid w:val="00C913C3"/>
    <w:rsid w:val="00C93A62"/>
    <w:rsid w:val="00C94E57"/>
    <w:rsid w:val="00C96DF5"/>
    <w:rsid w:val="00CA14A9"/>
    <w:rsid w:val="00CA3609"/>
    <w:rsid w:val="00CA3858"/>
    <w:rsid w:val="00CA4295"/>
    <w:rsid w:val="00CA6776"/>
    <w:rsid w:val="00CA6FA5"/>
    <w:rsid w:val="00CB1418"/>
    <w:rsid w:val="00CB2557"/>
    <w:rsid w:val="00CB6087"/>
    <w:rsid w:val="00CB75CA"/>
    <w:rsid w:val="00CC37D2"/>
    <w:rsid w:val="00CC7C26"/>
    <w:rsid w:val="00CD3041"/>
    <w:rsid w:val="00CD7A0E"/>
    <w:rsid w:val="00CE39D8"/>
    <w:rsid w:val="00CE39F6"/>
    <w:rsid w:val="00CE6B7C"/>
    <w:rsid w:val="00CF1565"/>
    <w:rsid w:val="00CF3147"/>
    <w:rsid w:val="00CF61D9"/>
    <w:rsid w:val="00CF6E71"/>
    <w:rsid w:val="00CF7021"/>
    <w:rsid w:val="00CF70CE"/>
    <w:rsid w:val="00CF7476"/>
    <w:rsid w:val="00D01248"/>
    <w:rsid w:val="00D04D71"/>
    <w:rsid w:val="00D056E4"/>
    <w:rsid w:val="00D060D9"/>
    <w:rsid w:val="00D1011F"/>
    <w:rsid w:val="00D14A90"/>
    <w:rsid w:val="00D23944"/>
    <w:rsid w:val="00D241DA"/>
    <w:rsid w:val="00D31288"/>
    <w:rsid w:val="00D32D70"/>
    <w:rsid w:val="00D46427"/>
    <w:rsid w:val="00D47A53"/>
    <w:rsid w:val="00D535C7"/>
    <w:rsid w:val="00D64438"/>
    <w:rsid w:val="00D7108A"/>
    <w:rsid w:val="00D73C19"/>
    <w:rsid w:val="00D744CC"/>
    <w:rsid w:val="00D74FA4"/>
    <w:rsid w:val="00D833BB"/>
    <w:rsid w:val="00D836BF"/>
    <w:rsid w:val="00D84D34"/>
    <w:rsid w:val="00D84F05"/>
    <w:rsid w:val="00D85ADA"/>
    <w:rsid w:val="00D93493"/>
    <w:rsid w:val="00D935A6"/>
    <w:rsid w:val="00D95070"/>
    <w:rsid w:val="00D9671D"/>
    <w:rsid w:val="00D96AC4"/>
    <w:rsid w:val="00DA15BD"/>
    <w:rsid w:val="00DA3307"/>
    <w:rsid w:val="00DA6C70"/>
    <w:rsid w:val="00DA6F50"/>
    <w:rsid w:val="00DB1307"/>
    <w:rsid w:val="00DB2FC8"/>
    <w:rsid w:val="00DB517A"/>
    <w:rsid w:val="00DC1715"/>
    <w:rsid w:val="00DC2BA1"/>
    <w:rsid w:val="00DC3A31"/>
    <w:rsid w:val="00DC6DBE"/>
    <w:rsid w:val="00DC7AD0"/>
    <w:rsid w:val="00DD22CD"/>
    <w:rsid w:val="00DD524E"/>
    <w:rsid w:val="00DD5700"/>
    <w:rsid w:val="00DD5F57"/>
    <w:rsid w:val="00DE0491"/>
    <w:rsid w:val="00DE35FA"/>
    <w:rsid w:val="00DE3715"/>
    <w:rsid w:val="00DE5D87"/>
    <w:rsid w:val="00DF00AD"/>
    <w:rsid w:val="00DF097B"/>
    <w:rsid w:val="00DF49F6"/>
    <w:rsid w:val="00DF4A38"/>
    <w:rsid w:val="00DF63E6"/>
    <w:rsid w:val="00E02FEC"/>
    <w:rsid w:val="00E03114"/>
    <w:rsid w:val="00E06B64"/>
    <w:rsid w:val="00E07928"/>
    <w:rsid w:val="00E07CBD"/>
    <w:rsid w:val="00E07CE2"/>
    <w:rsid w:val="00E10F27"/>
    <w:rsid w:val="00E10F9C"/>
    <w:rsid w:val="00E12DFE"/>
    <w:rsid w:val="00E162F5"/>
    <w:rsid w:val="00E21D55"/>
    <w:rsid w:val="00E21F97"/>
    <w:rsid w:val="00E22E1B"/>
    <w:rsid w:val="00E25A43"/>
    <w:rsid w:val="00E30B95"/>
    <w:rsid w:val="00E3106A"/>
    <w:rsid w:val="00E36523"/>
    <w:rsid w:val="00E40CE0"/>
    <w:rsid w:val="00E4212E"/>
    <w:rsid w:val="00E42612"/>
    <w:rsid w:val="00E43829"/>
    <w:rsid w:val="00E452D6"/>
    <w:rsid w:val="00E51DEB"/>
    <w:rsid w:val="00E54AF0"/>
    <w:rsid w:val="00E56F60"/>
    <w:rsid w:val="00E60055"/>
    <w:rsid w:val="00E61641"/>
    <w:rsid w:val="00E62AC9"/>
    <w:rsid w:val="00E63ABA"/>
    <w:rsid w:val="00E672B1"/>
    <w:rsid w:val="00E67DDC"/>
    <w:rsid w:val="00E72028"/>
    <w:rsid w:val="00E7291A"/>
    <w:rsid w:val="00E73404"/>
    <w:rsid w:val="00E73E52"/>
    <w:rsid w:val="00E760BA"/>
    <w:rsid w:val="00E81372"/>
    <w:rsid w:val="00E84CBA"/>
    <w:rsid w:val="00E90A9E"/>
    <w:rsid w:val="00E91ABB"/>
    <w:rsid w:val="00E963A8"/>
    <w:rsid w:val="00E97720"/>
    <w:rsid w:val="00EA30E2"/>
    <w:rsid w:val="00EA3928"/>
    <w:rsid w:val="00EA49E7"/>
    <w:rsid w:val="00EB16C1"/>
    <w:rsid w:val="00EB5212"/>
    <w:rsid w:val="00EB6B66"/>
    <w:rsid w:val="00EB77C5"/>
    <w:rsid w:val="00EB7A66"/>
    <w:rsid w:val="00EC28A2"/>
    <w:rsid w:val="00EC338A"/>
    <w:rsid w:val="00EC6D2A"/>
    <w:rsid w:val="00EC7599"/>
    <w:rsid w:val="00ED0B84"/>
    <w:rsid w:val="00ED0E24"/>
    <w:rsid w:val="00ED4370"/>
    <w:rsid w:val="00ED4FA4"/>
    <w:rsid w:val="00ED5998"/>
    <w:rsid w:val="00ED6C2D"/>
    <w:rsid w:val="00EE06B8"/>
    <w:rsid w:val="00EE38DC"/>
    <w:rsid w:val="00EE391A"/>
    <w:rsid w:val="00EE3B95"/>
    <w:rsid w:val="00EE4678"/>
    <w:rsid w:val="00EE5444"/>
    <w:rsid w:val="00EF0417"/>
    <w:rsid w:val="00EF06B8"/>
    <w:rsid w:val="00EF354A"/>
    <w:rsid w:val="00EF54BB"/>
    <w:rsid w:val="00EF6158"/>
    <w:rsid w:val="00EF6926"/>
    <w:rsid w:val="00EF75A9"/>
    <w:rsid w:val="00F01DEF"/>
    <w:rsid w:val="00F020E4"/>
    <w:rsid w:val="00F05ACB"/>
    <w:rsid w:val="00F07550"/>
    <w:rsid w:val="00F11898"/>
    <w:rsid w:val="00F11936"/>
    <w:rsid w:val="00F12332"/>
    <w:rsid w:val="00F16305"/>
    <w:rsid w:val="00F17A82"/>
    <w:rsid w:val="00F272BA"/>
    <w:rsid w:val="00F27C25"/>
    <w:rsid w:val="00F321F4"/>
    <w:rsid w:val="00F34748"/>
    <w:rsid w:val="00F349BE"/>
    <w:rsid w:val="00F362D2"/>
    <w:rsid w:val="00F3789C"/>
    <w:rsid w:val="00F401AB"/>
    <w:rsid w:val="00F50507"/>
    <w:rsid w:val="00F526CD"/>
    <w:rsid w:val="00F54C3B"/>
    <w:rsid w:val="00F56CC7"/>
    <w:rsid w:val="00F719B3"/>
    <w:rsid w:val="00F72391"/>
    <w:rsid w:val="00F72E9F"/>
    <w:rsid w:val="00F75C63"/>
    <w:rsid w:val="00F77A35"/>
    <w:rsid w:val="00F8005C"/>
    <w:rsid w:val="00F935EC"/>
    <w:rsid w:val="00F960CE"/>
    <w:rsid w:val="00FA04A9"/>
    <w:rsid w:val="00FA5B8D"/>
    <w:rsid w:val="00FA5D21"/>
    <w:rsid w:val="00FA6C51"/>
    <w:rsid w:val="00FA7641"/>
    <w:rsid w:val="00FB0719"/>
    <w:rsid w:val="00FB12BA"/>
    <w:rsid w:val="00FB2718"/>
    <w:rsid w:val="00FB61BD"/>
    <w:rsid w:val="00FB7189"/>
    <w:rsid w:val="00FC0D7F"/>
    <w:rsid w:val="00FC45EB"/>
    <w:rsid w:val="00FD06D0"/>
    <w:rsid w:val="00FD0F19"/>
    <w:rsid w:val="00FD2324"/>
    <w:rsid w:val="00FE4126"/>
    <w:rsid w:val="00FE4752"/>
    <w:rsid w:val="00FE7E57"/>
    <w:rsid w:val="00FF1FD1"/>
    <w:rsid w:val="00FF338D"/>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26C242"/>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33E"/>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character" w:customStyle="1" w:styleId="PrrafodelistaCar">
    <w:name w:val="Párrafo de lista Car"/>
    <w:basedOn w:val="Fuentedeprrafopredeter"/>
    <w:link w:val="Prrafodelista"/>
    <w:uiPriority w:val="34"/>
    <w:locked/>
    <w:rsid w:val="007F1DB4"/>
  </w:style>
  <w:style w:type="paragraph" w:styleId="TDC1">
    <w:name w:val="toc 1"/>
    <w:basedOn w:val="Normal"/>
    <w:next w:val="Normal"/>
    <w:autoRedefine/>
    <w:uiPriority w:val="39"/>
    <w:unhideWhenUsed/>
    <w:rsid w:val="00C63CA8"/>
    <w:pPr>
      <w:tabs>
        <w:tab w:val="left" w:pos="440"/>
        <w:tab w:val="right" w:leader="dot" w:pos="8647"/>
      </w:tabs>
      <w:spacing w:after="100"/>
      <w:ind w:right="191"/>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paragraph" w:styleId="Revisin">
    <w:name w:val="Revision"/>
    <w:hidden/>
    <w:uiPriority w:val="99"/>
    <w:semiHidden/>
    <w:rsid w:val="00B93A93"/>
    <w:pPr>
      <w:spacing w:after="0" w:line="240" w:lineRule="auto"/>
    </w:pPr>
  </w:style>
  <w:style w:type="character" w:styleId="Mencinsinresolver">
    <w:name w:val="Unresolved Mention"/>
    <w:basedOn w:val="Fuentedeprrafopredeter"/>
    <w:uiPriority w:val="99"/>
    <w:semiHidden/>
    <w:unhideWhenUsed/>
    <w:rsid w:val="004B7E1B"/>
    <w:rPr>
      <w:color w:val="605E5C"/>
      <w:shd w:val="clear" w:color="auto" w:fill="E1DFDD"/>
    </w:rPr>
  </w:style>
  <w:style w:type="paragraph" w:styleId="Textonotapie">
    <w:name w:val="footnote text"/>
    <w:aliases w:val=" Char,Char"/>
    <w:basedOn w:val="Normal"/>
    <w:link w:val="TextonotapieCar"/>
    <w:uiPriority w:val="99"/>
    <w:unhideWhenUsed/>
    <w:rsid w:val="00D47A53"/>
    <w:pPr>
      <w:spacing w:after="0" w:line="240" w:lineRule="auto"/>
    </w:pPr>
    <w:rPr>
      <w:sz w:val="20"/>
      <w:szCs w:val="20"/>
    </w:rPr>
  </w:style>
  <w:style w:type="character" w:customStyle="1" w:styleId="TextonotapieCar">
    <w:name w:val="Texto nota pie Car"/>
    <w:aliases w:val=" Char Car,Char Car"/>
    <w:basedOn w:val="Fuentedeprrafopredeter"/>
    <w:link w:val="Textonotapie"/>
    <w:uiPriority w:val="99"/>
    <w:rsid w:val="00D47A53"/>
    <w:rPr>
      <w:sz w:val="20"/>
      <w:szCs w:val="20"/>
    </w:rPr>
  </w:style>
  <w:style w:type="character" w:styleId="Refdenotaalpie">
    <w:name w:val="footnote reference"/>
    <w:basedOn w:val="Fuentedeprrafopredeter"/>
    <w:unhideWhenUsed/>
    <w:rsid w:val="00D47A53"/>
    <w:rPr>
      <w:vertAlign w:val="superscript"/>
    </w:rPr>
  </w:style>
  <w:style w:type="paragraph" w:styleId="NormalWeb">
    <w:name w:val="Normal (Web)"/>
    <w:basedOn w:val="Normal"/>
    <w:uiPriority w:val="99"/>
    <w:semiHidden/>
    <w:unhideWhenUsed/>
    <w:rsid w:val="00786B86"/>
    <w:pPr>
      <w:spacing w:before="100" w:beforeAutospacing="1" w:after="100" w:afterAutospacing="1" w:line="240" w:lineRule="auto"/>
    </w:pPr>
    <w:rPr>
      <w:rFonts w:ascii="Times New Roman" w:eastAsiaTheme="minorEastAsia"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80020">
      <w:bodyDiv w:val="1"/>
      <w:marLeft w:val="0"/>
      <w:marRight w:val="0"/>
      <w:marTop w:val="0"/>
      <w:marBottom w:val="0"/>
      <w:divBdr>
        <w:top w:val="none" w:sz="0" w:space="0" w:color="auto"/>
        <w:left w:val="none" w:sz="0" w:space="0" w:color="auto"/>
        <w:bottom w:val="none" w:sz="0" w:space="0" w:color="auto"/>
        <w:right w:val="none" w:sz="0" w:space="0" w:color="auto"/>
      </w:divBdr>
    </w:div>
    <w:div w:id="19378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83dd16-57d4-464b-a6c5-165268a1b9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C665EC7467CB40B0A2F2F5ECF5B2DC" ma:contentTypeVersion="11" ma:contentTypeDescription="Crear nuevo documento." ma:contentTypeScope="" ma:versionID="5e8cf3c147a6ba2d7a6bc922a4199ce6">
  <xsd:schema xmlns:xsd="http://www.w3.org/2001/XMLSchema" xmlns:xs="http://www.w3.org/2001/XMLSchema" xmlns:p="http://schemas.microsoft.com/office/2006/metadata/properties" xmlns:ns3="3483dd16-57d4-464b-a6c5-165268a1b9c6" xmlns:ns4="6523c63f-6309-4f82-8a4e-17e37b0a4a2a" targetNamespace="http://schemas.microsoft.com/office/2006/metadata/properties" ma:root="true" ma:fieldsID="e2f798e02388d4557998b71b22874f55" ns3:_="" ns4:_="">
    <xsd:import namespace="3483dd16-57d4-464b-a6c5-165268a1b9c6"/>
    <xsd:import namespace="6523c63f-6309-4f82-8a4e-17e37b0a4a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3dd16-57d4-464b-a6c5-165268a1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3c63f-6309-4f82-8a4e-17e37b0a4a2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2.xml><?xml version="1.0" encoding="utf-8"?>
<ds:datastoreItem xmlns:ds="http://schemas.openxmlformats.org/officeDocument/2006/customXml" ds:itemID="{4857DA7D-1EE2-432F-9874-C0D79D80B934}">
  <ds:schemaRef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6523c63f-6309-4f82-8a4e-17e37b0a4a2a"/>
    <ds:schemaRef ds:uri="3483dd16-57d4-464b-a6c5-165268a1b9c6"/>
  </ds:schemaRefs>
</ds:datastoreItem>
</file>

<file path=customXml/itemProps3.xml><?xml version="1.0" encoding="utf-8"?>
<ds:datastoreItem xmlns:ds="http://schemas.openxmlformats.org/officeDocument/2006/customXml" ds:itemID="{1C532CE7-C8B6-4148-BC06-30654946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3dd16-57d4-464b-a6c5-165268a1b9c6"/>
    <ds:schemaRef ds:uri="6523c63f-6309-4f82-8a4e-17e37b0a4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971A1-FCF2-480C-8563-C3C59596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4112</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Estefanie Jimenez Mendez</dc:creator>
  <cp:lastModifiedBy>Rebeca Cover Lopez</cp:lastModifiedBy>
  <cp:revision>3</cp:revision>
  <cp:lastPrinted>2023-01-30T19:27:00Z</cp:lastPrinted>
  <dcterms:created xsi:type="dcterms:W3CDTF">2023-01-30T19:27:00Z</dcterms:created>
  <dcterms:modified xsi:type="dcterms:W3CDTF">2023-01-30T19:29:00Z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0x01010065C665EC7467CB40B0A2F2F5ECF5B2DC</vt:lpwstr>
  </property>
</Properties>
</file>