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481740124"/>
        <w:docPartObj>
          <w:docPartGallery w:val="Cover Pages"/>
          <w:docPartUnique/>
        </w:docPartObj>
      </w:sdtPr>
      <w:sdtEndPr/>
      <w:sdtContent>
        <w:bookmarkStart w:id="1" w:name="_Toc402340236" w:displacedByCustomXml="prev"/>
        <w:bookmarkEnd w:id="1" w:displacedByCustomXml="prev"/>
        <w:bookmarkStart w:id="2" w:name="_Toc402340235" w:displacedByCustomXml="prev"/>
        <w:bookmarkEnd w:id="2" w:displacedByCustomXml="prev"/>
        <w:bookmarkStart w:id="3" w:name="_Toc511035212" w:displacedByCustomXml="prev"/>
        <w:p w14:paraId="4A476065" w14:textId="77777777" w:rsidR="0055222A" w:rsidRPr="0043627B" w:rsidRDefault="00C47CD1" w:rsidP="006C7F40">
          <w:pPr>
            <w:spacing w:after="0" w:line="240" w:lineRule="auto"/>
            <w:contextualSpacing/>
            <w:rPr>
              <w:rFonts w:ascii="Arial" w:hAnsi="Arial" w:cs="Arial"/>
              <w:b/>
              <w:noProof/>
              <w:sz w:val="24"/>
              <w:szCs w:val="24"/>
            </w:rPr>
          </w:pPr>
          <w:r w:rsidRPr="0043627B">
            <w:rPr>
              <w:rFonts w:ascii="Arial" w:eastAsiaTheme="minorEastAsia" w:hAnsi="Arial" w:cs="Arial"/>
              <w:noProof/>
              <w:sz w:val="24"/>
              <w:szCs w:val="24"/>
              <w:lang w:val="es-ES_tradnl" w:eastAsia="es-ES"/>
            </w:rPr>
            <mc:AlternateContent>
              <mc:Choice Requires="wps">
                <w:drawing>
                  <wp:anchor distT="0" distB="0" distL="114300" distR="114300" simplePos="0" relativeHeight="251658241" behindDoc="0" locked="0" layoutInCell="1" allowOverlap="1" wp14:anchorId="4EE42F8C" wp14:editId="2300E561">
                    <wp:simplePos x="0" y="0"/>
                    <wp:positionH relativeFrom="column">
                      <wp:posOffset>113665</wp:posOffset>
                    </wp:positionH>
                    <wp:positionV relativeFrom="paragraph">
                      <wp:posOffset>2884170</wp:posOffset>
                    </wp:positionV>
                    <wp:extent cx="6324600" cy="41338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324600" cy="4133850"/>
                            </a:xfrm>
                            <a:prstGeom prst="rect">
                              <a:avLst/>
                            </a:prstGeom>
                            <a:noFill/>
                            <a:ln w="6350">
                              <a:noFill/>
                            </a:ln>
                          </wps:spPr>
                          <wps:txbx>
                            <w:txbxContent>
                              <w:p w14:paraId="36CEF45C" w14:textId="3F233727" w:rsidR="004D7C6C" w:rsidRPr="003C7BE7" w:rsidRDefault="004D7C6C" w:rsidP="00AD7C6B">
                                <w:pPr>
                                  <w:jc w:val="right"/>
                                  <w:rPr>
                                    <w:rFonts w:ascii="Arial" w:hAnsi="Arial" w:cs="Arial"/>
                                    <w:color w:val="FFFFFF" w:themeColor="background1"/>
                                    <w:sz w:val="80"/>
                                    <w:szCs w:val="80"/>
                                  </w:rPr>
                                </w:pPr>
                                <w:r w:rsidRPr="003C7BE7">
                                  <w:rPr>
                                    <w:rFonts w:ascii="Arial" w:hAnsi="Arial" w:cs="Arial"/>
                                    <w:color w:val="FFFFFF" w:themeColor="background1"/>
                                    <w:sz w:val="80"/>
                                    <w:szCs w:val="80"/>
                                  </w:rPr>
                                  <w:t xml:space="preserve">N.º: </w:t>
                                </w:r>
                                <w:r>
                                  <w:rPr>
                                    <w:rFonts w:ascii="Arial" w:hAnsi="Arial" w:cs="Arial"/>
                                    <w:color w:val="FFFFFF" w:themeColor="background1"/>
                                    <w:sz w:val="80"/>
                                    <w:szCs w:val="80"/>
                                  </w:rPr>
                                  <w:t>0</w:t>
                                </w:r>
                                <w:r w:rsidR="001E4AFD">
                                  <w:rPr>
                                    <w:rFonts w:ascii="Arial" w:hAnsi="Arial" w:cs="Arial"/>
                                    <w:color w:val="FFFFFF" w:themeColor="background1"/>
                                    <w:sz w:val="80"/>
                                    <w:szCs w:val="80"/>
                                  </w:rPr>
                                  <w:t>05</w:t>
                                </w:r>
                                <w:r>
                                  <w:rPr>
                                    <w:rFonts w:ascii="Arial" w:hAnsi="Arial" w:cs="Arial"/>
                                    <w:color w:val="FFFFFF" w:themeColor="background1"/>
                                    <w:sz w:val="80"/>
                                    <w:szCs w:val="80"/>
                                  </w:rPr>
                                  <w:t>-2022</w:t>
                                </w:r>
                              </w:p>
                              <w:p w14:paraId="3C8135E1" w14:textId="77777777" w:rsidR="004D7C6C" w:rsidRPr="003C7BE7" w:rsidRDefault="004D7C6C" w:rsidP="003E6E27">
                                <w:pPr>
                                  <w:jc w:val="right"/>
                                  <w:rPr>
                                    <w:rFonts w:ascii="Arial" w:hAnsi="Arial" w:cs="Arial"/>
                                    <w:color w:val="FFFFFF" w:themeColor="background1"/>
                                    <w:sz w:val="72"/>
                                    <w:szCs w:val="72"/>
                                  </w:rPr>
                                </w:pPr>
                                <w:r w:rsidRPr="003E6E27">
                                  <w:rPr>
                                    <w:rFonts w:ascii="Arial" w:hAnsi="Arial" w:cs="Arial"/>
                                    <w:color w:val="FFFFFF" w:themeColor="background1"/>
                                    <w:sz w:val="72"/>
                                    <w:szCs w:val="72"/>
                                  </w:rPr>
                                  <w:t xml:space="preserve"> </w:t>
                                </w:r>
                                <w:r w:rsidRPr="00C47CD1">
                                  <w:rPr>
                                    <w:rFonts w:ascii="Arial" w:hAnsi="Arial" w:cs="Arial"/>
                                    <w:color w:val="FFFFFF" w:themeColor="background1"/>
                                    <w:sz w:val="72"/>
                                    <w:szCs w:val="72"/>
                                  </w:rPr>
                                  <w:t xml:space="preserve"> “Evaluación del proceso de contratación administrativa a cargo de la Proveeduría Institucional del Ministerio de Hacienda”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F8C" id="_x0000_t202" coordsize="21600,21600" o:spt="202" path="m,l,21600r21600,l21600,xe">
                    <v:stroke joinstyle="miter"/>
                    <v:path gradientshapeok="t" o:connecttype="rect"/>
                  </v:shapetype>
                  <v:shape id="Cuadro de texto 4" o:spid="_x0000_s1026" type="#_x0000_t202" style="position:absolute;margin-left:8.95pt;margin-top:227.1pt;width:498pt;height:3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" filled="f" stroked="f" strokeweight=".5pt">
                    <v:textbox>
                      <w:txbxContent>
                        <w:p w14:paraId="36CEF45C" w14:textId="3F233727" w:rsidR="004D7C6C" w:rsidRPr="003C7BE7" w:rsidRDefault="004D7C6C" w:rsidP="00AD7C6B">
                          <w:pPr>
                            <w:jc w:val="right"/>
                            <w:rPr>
                              <w:rFonts w:ascii="Arial" w:hAnsi="Arial" w:cs="Arial"/>
                              <w:color w:val="FFFFFF" w:themeColor="background1"/>
                              <w:sz w:val="80"/>
                              <w:szCs w:val="80"/>
                            </w:rPr>
                          </w:pPr>
                          <w:r w:rsidRPr="003C7BE7">
                            <w:rPr>
                              <w:rFonts w:ascii="Arial" w:hAnsi="Arial" w:cs="Arial"/>
                              <w:color w:val="FFFFFF" w:themeColor="background1"/>
                              <w:sz w:val="80"/>
                              <w:szCs w:val="80"/>
                            </w:rPr>
                            <w:t xml:space="preserve">N.º: </w:t>
                          </w:r>
                          <w:r>
                            <w:rPr>
                              <w:rFonts w:ascii="Arial" w:hAnsi="Arial" w:cs="Arial"/>
                              <w:color w:val="FFFFFF" w:themeColor="background1"/>
                              <w:sz w:val="80"/>
                              <w:szCs w:val="80"/>
                            </w:rPr>
                            <w:t>0</w:t>
                          </w:r>
                          <w:r w:rsidR="001E4AFD">
                            <w:rPr>
                              <w:rFonts w:ascii="Arial" w:hAnsi="Arial" w:cs="Arial"/>
                              <w:color w:val="FFFFFF" w:themeColor="background1"/>
                              <w:sz w:val="80"/>
                              <w:szCs w:val="80"/>
                            </w:rPr>
                            <w:t>05</w:t>
                          </w:r>
                          <w:r>
                            <w:rPr>
                              <w:rFonts w:ascii="Arial" w:hAnsi="Arial" w:cs="Arial"/>
                              <w:color w:val="FFFFFF" w:themeColor="background1"/>
                              <w:sz w:val="80"/>
                              <w:szCs w:val="80"/>
                            </w:rPr>
                            <w:t>-2022</w:t>
                          </w:r>
                        </w:p>
                        <w:p w14:paraId="3C8135E1" w14:textId="77777777" w:rsidR="004D7C6C" w:rsidRPr="003C7BE7" w:rsidRDefault="004D7C6C" w:rsidP="003E6E27">
                          <w:pPr>
                            <w:jc w:val="right"/>
                            <w:rPr>
                              <w:rFonts w:ascii="Arial" w:hAnsi="Arial" w:cs="Arial"/>
                              <w:color w:val="FFFFFF" w:themeColor="background1"/>
                              <w:sz w:val="72"/>
                              <w:szCs w:val="72"/>
                            </w:rPr>
                          </w:pPr>
                          <w:r w:rsidRPr="003E6E27">
                            <w:rPr>
                              <w:rFonts w:ascii="Arial" w:hAnsi="Arial" w:cs="Arial"/>
                              <w:color w:val="FFFFFF" w:themeColor="background1"/>
                              <w:sz w:val="72"/>
                              <w:szCs w:val="72"/>
                            </w:rPr>
                            <w:t xml:space="preserve"> </w:t>
                          </w:r>
                          <w:r w:rsidRPr="00C47CD1">
                            <w:rPr>
                              <w:rFonts w:ascii="Arial" w:hAnsi="Arial" w:cs="Arial"/>
                              <w:color w:val="FFFFFF" w:themeColor="background1"/>
                              <w:sz w:val="72"/>
                              <w:szCs w:val="72"/>
                            </w:rPr>
                            <w:t xml:space="preserve"> “Evaluación del proceso de contratación administrativa a cargo de la Proveeduría Institucional del Ministerio de Hacienda”</w:t>
                          </w:r>
                        </w:p>
                      </w:txbxContent>
                    </v:textbox>
                  </v:shape>
                </w:pict>
              </mc:Fallback>
            </mc:AlternateContent>
          </w:r>
          <w:r w:rsidR="00677896" w:rsidRPr="0043627B">
            <w:rPr>
              <w:rFonts w:ascii="Arial" w:hAnsi="Arial" w:cs="Arial"/>
              <w:noProof/>
              <w:sz w:val="24"/>
              <w:szCs w:val="24"/>
              <w:lang w:eastAsia="es-CR"/>
            </w:rPr>
            <mc:AlternateContent>
              <mc:Choice Requires="wps">
                <w:drawing>
                  <wp:anchor distT="0" distB="0" distL="114300" distR="114300" simplePos="0" relativeHeight="251658242" behindDoc="0" locked="0" layoutInCell="1" allowOverlap="1" wp14:anchorId="746C73B5" wp14:editId="7F9FCCCD">
                    <wp:simplePos x="0" y="0"/>
                    <wp:positionH relativeFrom="margin">
                      <wp:posOffset>-607695</wp:posOffset>
                    </wp:positionH>
                    <wp:positionV relativeFrom="paragraph">
                      <wp:posOffset>7031990</wp:posOffset>
                    </wp:positionV>
                    <wp:extent cx="6629400" cy="67056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6705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7048DD" w14:textId="77777777" w:rsidR="004D7C6C" w:rsidRDefault="004D7C6C"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59A843CA" w14:textId="77777777" w:rsidR="004D7C6C" w:rsidRPr="00AD7C6B" w:rsidRDefault="004D7C6C"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73B5" id="Text Box 5" o:spid="_x0000_s1027" type="#_x0000_t202" style="position:absolute;margin-left:-47.85pt;margin-top:553.7pt;width:522pt;height:52.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" filled="f" stroked="f">
                    <v:textbox>
                      <w:txbxContent>
                        <w:p w14:paraId="677048DD" w14:textId="77777777" w:rsidR="004D7C6C" w:rsidRDefault="004D7C6C"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59A843CA" w14:textId="77777777" w:rsidR="004D7C6C" w:rsidRPr="00AD7C6B" w:rsidRDefault="004D7C6C"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txbxContent>
                    </v:textbox>
                    <w10:wrap type="square" anchorx="margin"/>
                  </v:shape>
                </w:pict>
              </mc:Fallback>
            </mc:AlternateContent>
          </w:r>
          <w:r w:rsidR="00AD7C6B" w:rsidRPr="0043627B">
            <w:rPr>
              <w:rFonts w:ascii="Arial" w:hAnsi="Arial" w:cs="Arial"/>
              <w:b/>
              <w:noProof/>
              <w:sz w:val="24"/>
              <w:szCs w:val="24"/>
            </w:rPr>
            <w:drawing>
              <wp:anchor distT="0" distB="0" distL="114300" distR="114300" simplePos="0" relativeHeight="251658240" behindDoc="1" locked="0" layoutInCell="1" allowOverlap="1" wp14:anchorId="3080E3F6" wp14:editId="5BB62836">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p>
      </w:sdtContent>
    </w:sdt>
    <w:bookmarkEnd w:id="3" w:displacedByCustomXml="prev"/>
    <w:p w14:paraId="273D7FBD" w14:textId="77777777" w:rsidR="0055222A" w:rsidRPr="0043627B" w:rsidRDefault="0055222A" w:rsidP="006C7F40">
      <w:pPr>
        <w:spacing w:after="0" w:line="240" w:lineRule="auto"/>
        <w:contextualSpacing/>
      </w:pPr>
      <w:r w:rsidRPr="0043627B">
        <w:lastRenderedPageBreak/>
        <w:t xml:space="preserve"> </w:t>
      </w:r>
    </w:p>
    <w:sdt>
      <w:sdtPr>
        <w:rPr>
          <w:rFonts w:ascii="Arial" w:hAnsi="Arial" w:cs="Arial"/>
          <w:b/>
          <w:sz w:val="24"/>
          <w:szCs w:val="24"/>
        </w:rPr>
        <w:id w:val="-1166481374"/>
        <w:docPartObj>
          <w:docPartGallery w:val="Table of Contents"/>
          <w:docPartUnique/>
        </w:docPartObj>
      </w:sdtPr>
      <w:sdtEndPr>
        <w:rPr>
          <w:sz w:val="22"/>
          <w:szCs w:val="22"/>
        </w:rPr>
      </w:sdtEndPr>
      <w:sdtContent>
        <w:p w14:paraId="7D5A49F3" w14:textId="77777777" w:rsidR="0055222A" w:rsidRDefault="0055222A" w:rsidP="006C7F40">
          <w:pPr>
            <w:keepNext/>
            <w:keepLines/>
            <w:spacing w:after="0" w:line="240" w:lineRule="auto"/>
            <w:contextualSpacing/>
            <w:rPr>
              <w:rFonts w:ascii="Arial" w:eastAsiaTheme="majorEastAsia" w:hAnsi="Arial" w:cs="Arial"/>
              <w:b/>
              <w:bCs/>
              <w:color w:val="44546A" w:themeColor="text2"/>
              <w:lang w:eastAsia="es-CR"/>
            </w:rPr>
          </w:pPr>
          <w:r w:rsidRPr="004644EB">
            <w:rPr>
              <w:rFonts w:ascii="Arial" w:eastAsiaTheme="majorEastAsia" w:hAnsi="Arial" w:cs="Arial"/>
              <w:b/>
              <w:bCs/>
              <w:color w:val="44546A" w:themeColor="text2"/>
              <w:lang w:eastAsia="es-CR"/>
            </w:rPr>
            <w:t>CONTENIDO</w:t>
          </w:r>
        </w:p>
        <w:p w14:paraId="0BD3FCBF" w14:textId="77777777" w:rsidR="004644EB" w:rsidRDefault="004644EB" w:rsidP="006C7F40">
          <w:pPr>
            <w:keepNext/>
            <w:keepLines/>
            <w:spacing w:after="0" w:line="240" w:lineRule="auto"/>
            <w:contextualSpacing/>
            <w:rPr>
              <w:rFonts w:ascii="Arial" w:eastAsiaTheme="majorEastAsia" w:hAnsi="Arial" w:cs="Arial"/>
              <w:b/>
              <w:bCs/>
              <w:color w:val="44546A" w:themeColor="text2"/>
              <w:lang w:eastAsia="es-CR"/>
            </w:rPr>
          </w:pPr>
        </w:p>
        <w:p w14:paraId="5E93DC77" w14:textId="77777777" w:rsidR="004644EB" w:rsidRPr="00441749" w:rsidRDefault="004644EB" w:rsidP="006C7F40">
          <w:pPr>
            <w:keepNext/>
            <w:keepLines/>
            <w:spacing w:after="0" w:line="240" w:lineRule="auto"/>
            <w:contextualSpacing/>
            <w:rPr>
              <w:rFonts w:ascii="Arial" w:eastAsiaTheme="majorEastAsia" w:hAnsi="Arial" w:cs="Arial"/>
              <w:b/>
              <w:bCs/>
              <w:color w:val="44546A" w:themeColor="text2"/>
              <w:lang w:eastAsia="es-CR"/>
            </w:rPr>
          </w:pPr>
        </w:p>
        <w:p w14:paraId="251E81FE" w14:textId="1A977008" w:rsidR="005C0EB9" w:rsidRDefault="0055222A">
          <w:pPr>
            <w:pStyle w:val="TDC1"/>
            <w:rPr>
              <w:rFonts w:eastAsiaTheme="minorEastAsia"/>
              <w:noProof/>
              <w:lang w:eastAsia="es-CR"/>
            </w:rPr>
          </w:pPr>
          <w:r w:rsidRPr="00441749">
            <w:rPr>
              <w:rFonts w:ascii="Arial" w:hAnsi="Arial" w:cs="Arial"/>
              <w:b/>
              <w:lang w:val="es-ES_tradnl"/>
            </w:rPr>
            <w:fldChar w:fldCharType="begin"/>
          </w:r>
          <w:r w:rsidRPr="00441749">
            <w:rPr>
              <w:rFonts w:ascii="Arial" w:hAnsi="Arial" w:cs="Arial"/>
              <w:b/>
            </w:rPr>
            <w:instrText xml:space="preserve"> TOC \o "1-3" \h \z \u </w:instrText>
          </w:r>
          <w:r w:rsidRPr="00441749">
            <w:rPr>
              <w:rFonts w:ascii="Arial" w:hAnsi="Arial" w:cs="Arial"/>
              <w:b/>
              <w:lang w:val="es-ES_tradnl"/>
            </w:rPr>
            <w:fldChar w:fldCharType="separate"/>
          </w:r>
          <w:hyperlink w:anchor="_Toc108431888" w:history="1">
            <w:r w:rsidR="005C0EB9" w:rsidRPr="00F14D1E">
              <w:rPr>
                <w:rStyle w:val="Hipervnculo"/>
                <w:rFonts w:ascii="Arial" w:hAnsi="Arial" w:cs="Arial"/>
                <w:b/>
                <w:bCs/>
                <w:noProof/>
                <w:kern w:val="28"/>
                <w:lang w:eastAsia="es-ES"/>
              </w:rPr>
              <w:t>1.</w:t>
            </w:r>
            <w:r w:rsidR="005C0EB9">
              <w:rPr>
                <w:rFonts w:eastAsiaTheme="minorEastAsia"/>
                <w:noProof/>
                <w:lang w:eastAsia="es-CR"/>
              </w:rPr>
              <w:tab/>
            </w:r>
            <w:r w:rsidR="005C0EB9" w:rsidRPr="00F14D1E">
              <w:rPr>
                <w:rStyle w:val="Hipervnculo"/>
                <w:rFonts w:ascii="Arial" w:hAnsi="Arial" w:cs="Arial"/>
                <w:b/>
                <w:bCs/>
                <w:noProof/>
                <w:kern w:val="28"/>
                <w:lang w:eastAsia="es-ES"/>
              </w:rPr>
              <w:t>INTRODUCCIÓN</w:t>
            </w:r>
            <w:r w:rsidR="005C0EB9">
              <w:rPr>
                <w:noProof/>
                <w:webHidden/>
              </w:rPr>
              <w:tab/>
            </w:r>
            <w:r w:rsidR="005C0EB9">
              <w:rPr>
                <w:noProof/>
                <w:webHidden/>
              </w:rPr>
              <w:fldChar w:fldCharType="begin"/>
            </w:r>
            <w:r w:rsidR="005C0EB9">
              <w:rPr>
                <w:noProof/>
                <w:webHidden/>
              </w:rPr>
              <w:instrText xml:space="preserve"> PAGEREF _Toc108431888 \h </w:instrText>
            </w:r>
            <w:r w:rsidR="005C0EB9">
              <w:rPr>
                <w:noProof/>
                <w:webHidden/>
              </w:rPr>
            </w:r>
            <w:r w:rsidR="005C0EB9">
              <w:rPr>
                <w:noProof/>
                <w:webHidden/>
              </w:rPr>
              <w:fldChar w:fldCharType="separate"/>
            </w:r>
            <w:r w:rsidR="008A78C0">
              <w:rPr>
                <w:noProof/>
                <w:webHidden/>
              </w:rPr>
              <w:t>4</w:t>
            </w:r>
            <w:r w:rsidR="005C0EB9">
              <w:rPr>
                <w:noProof/>
                <w:webHidden/>
              </w:rPr>
              <w:fldChar w:fldCharType="end"/>
            </w:r>
          </w:hyperlink>
        </w:p>
        <w:p w14:paraId="1E6DC012" w14:textId="40BFFE4C" w:rsidR="005C0EB9" w:rsidRDefault="002E48AB">
          <w:pPr>
            <w:pStyle w:val="TDC1"/>
            <w:rPr>
              <w:rFonts w:eastAsiaTheme="minorEastAsia"/>
              <w:noProof/>
              <w:lang w:eastAsia="es-CR"/>
            </w:rPr>
          </w:pPr>
          <w:hyperlink w:anchor="_Toc108431889" w:history="1">
            <w:r w:rsidR="005C0EB9" w:rsidRPr="00F14D1E">
              <w:rPr>
                <w:rStyle w:val="Hipervnculo"/>
                <w:rFonts w:ascii="Arial" w:hAnsi="Arial" w:cs="Arial"/>
                <w:b/>
                <w:noProof/>
              </w:rPr>
              <w:t>1.1</w:t>
            </w:r>
            <w:r w:rsidR="005C0EB9">
              <w:rPr>
                <w:rFonts w:eastAsiaTheme="minorEastAsia"/>
                <w:noProof/>
                <w:lang w:eastAsia="es-CR"/>
              </w:rPr>
              <w:tab/>
            </w:r>
            <w:r w:rsidR="005C0EB9" w:rsidRPr="00F14D1E">
              <w:rPr>
                <w:rStyle w:val="Hipervnculo"/>
                <w:rFonts w:ascii="Arial" w:hAnsi="Arial" w:cs="Arial"/>
                <w:b/>
                <w:noProof/>
              </w:rPr>
              <w:t>Origen</w:t>
            </w:r>
            <w:r w:rsidR="005C0EB9">
              <w:rPr>
                <w:noProof/>
                <w:webHidden/>
              </w:rPr>
              <w:tab/>
            </w:r>
            <w:r w:rsidR="005C0EB9">
              <w:rPr>
                <w:noProof/>
                <w:webHidden/>
              </w:rPr>
              <w:fldChar w:fldCharType="begin"/>
            </w:r>
            <w:r w:rsidR="005C0EB9">
              <w:rPr>
                <w:noProof/>
                <w:webHidden/>
              </w:rPr>
              <w:instrText xml:space="preserve"> PAGEREF _Toc108431889 \h </w:instrText>
            </w:r>
            <w:r w:rsidR="005C0EB9">
              <w:rPr>
                <w:noProof/>
                <w:webHidden/>
              </w:rPr>
            </w:r>
            <w:r w:rsidR="005C0EB9">
              <w:rPr>
                <w:noProof/>
                <w:webHidden/>
              </w:rPr>
              <w:fldChar w:fldCharType="separate"/>
            </w:r>
            <w:r w:rsidR="008A78C0">
              <w:rPr>
                <w:noProof/>
                <w:webHidden/>
              </w:rPr>
              <w:t>4</w:t>
            </w:r>
            <w:r w:rsidR="005C0EB9">
              <w:rPr>
                <w:noProof/>
                <w:webHidden/>
              </w:rPr>
              <w:fldChar w:fldCharType="end"/>
            </w:r>
          </w:hyperlink>
        </w:p>
        <w:p w14:paraId="736E415C" w14:textId="20EB9F39" w:rsidR="005C0EB9" w:rsidRDefault="002E48AB">
          <w:pPr>
            <w:pStyle w:val="TDC1"/>
            <w:rPr>
              <w:rFonts w:eastAsiaTheme="minorEastAsia"/>
              <w:noProof/>
              <w:lang w:eastAsia="es-CR"/>
            </w:rPr>
          </w:pPr>
          <w:hyperlink w:anchor="_Toc108431890" w:history="1">
            <w:r w:rsidR="005C0EB9" w:rsidRPr="00F14D1E">
              <w:rPr>
                <w:rStyle w:val="Hipervnculo"/>
                <w:rFonts w:ascii="Arial" w:hAnsi="Arial" w:cs="Arial"/>
                <w:b/>
                <w:noProof/>
              </w:rPr>
              <w:t>1.2</w:t>
            </w:r>
            <w:r w:rsidR="005C0EB9">
              <w:rPr>
                <w:rFonts w:eastAsiaTheme="minorEastAsia"/>
                <w:noProof/>
                <w:lang w:eastAsia="es-CR"/>
              </w:rPr>
              <w:tab/>
            </w:r>
            <w:r w:rsidR="005C0EB9" w:rsidRPr="00F14D1E">
              <w:rPr>
                <w:rStyle w:val="Hipervnculo"/>
                <w:rFonts w:ascii="Arial" w:hAnsi="Arial" w:cs="Arial"/>
                <w:b/>
                <w:noProof/>
              </w:rPr>
              <w:t>Objetivo del estudio</w:t>
            </w:r>
            <w:r w:rsidR="005C0EB9">
              <w:rPr>
                <w:noProof/>
                <w:webHidden/>
              </w:rPr>
              <w:tab/>
            </w:r>
            <w:r w:rsidR="005C0EB9">
              <w:rPr>
                <w:noProof/>
                <w:webHidden/>
              </w:rPr>
              <w:fldChar w:fldCharType="begin"/>
            </w:r>
            <w:r w:rsidR="005C0EB9">
              <w:rPr>
                <w:noProof/>
                <w:webHidden/>
              </w:rPr>
              <w:instrText xml:space="preserve"> PAGEREF _Toc108431890 \h </w:instrText>
            </w:r>
            <w:r w:rsidR="005C0EB9">
              <w:rPr>
                <w:noProof/>
                <w:webHidden/>
              </w:rPr>
            </w:r>
            <w:r w:rsidR="005C0EB9">
              <w:rPr>
                <w:noProof/>
                <w:webHidden/>
              </w:rPr>
              <w:fldChar w:fldCharType="separate"/>
            </w:r>
            <w:r w:rsidR="008A78C0">
              <w:rPr>
                <w:noProof/>
                <w:webHidden/>
              </w:rPr>
              <w:t>4</w:t>
            </w:r>
            <w:r w:rsidR="005C0EB9">
              <w:rPr>
                <w:noProof/>
                <w:webHidden/>
              </w:rPr>
              <w:fldChar w:fldCharType="end"/>
            </w:r>
          </w:hyperlink>
        </w:p>
        <w:p w14:paraId="67CE69EB" w14:textId="08ACCAE1" w:rsidR="005C0EB9" w:rsidRDefault="002E48AB">
          <w:pPr>
            <w:pStyle w:val="TDC1"/>
            <w:rPr>
              <w:rFonts w:eastAsiaTheme="minorEastAsia"/>
              <w:noProof/>
              <w:lang w:eastAsia="es-CR"/>
            </w:rPr>
          </w:pPr>
          <w:hyperlink w:anchor="_Toc108431891" w:history="1">
            <w:r w:rsidR="005C0EB9" w:rsidRPr="00F14D1E">
              <w:rPr>
                <w:rStyle w:val="Hipervnculo"/>
                <w:rFonts w:ascii="Arial" w:hAnsi="Arial" w:cs="Arial"/>
                <w:b/>
                <w:noProof/>
              </w:rPr>
              <w:t>1.3</w:t>
            </w:r>
            <w:r w:rsidR="005C0EB9">
              <w:rPr>
                <w:rFonts w:eastAsiaTheme="minorEastAsia"/>
                <w:noProof/>
                <w:lang w:eastAsia="es-CR"/>
              </w:rPr>
              <w:tab/>
            </w:r>
            <w:r w:rsidR="005C0EB9" w:rsidRPr="00F14D1E">
              <w:rPr>
                <w:rStyle w:val="Hipervnculo"/>
                <w:rFonts w:ascii="Arial" w:hAnsi="Arial" w:cs="Arial"/>
                <w:b/>
                <w:noProof/>
              </w:rPr>
              <w:t>Alcance</w:t>
            </w:r>
            <w:r w:rsidR="005C0EB9">
              <w:rPr>
                <w:noProof/>
                <w:webHidden/>
              </w:rPr>
              <w:tab/>
            </w:r>
            <w:r w:rsidR="005C0EB9">
              <w:rPr>
                <w:noProof/>
                <w:webHidden/>
              </w:rPr>
              <w:fldChar w:fldCharType="begin"/>
            </w:r>
            <w:r w:rsidR="005C0EB9">
              <w:rPr>
                <w:noProof/>
                <w:webHidden/>
              </w:rPr>
              <w:instrText xml:space="preserve"> PAGEREF _Toc108431891 \h </w:instrText>
            </w:r>
            <w:r w:rsidR="005C0EB9">
              <w:rPr>
                <w:noProof/>
                <w:webHidden/>
              </w:rPr>
            </w:r>
            <w:r w:rsidR="005C0EB9">
              <w:rPr>
                <w:noProof/>
                <w:webHidden/>
              </w:rPr>
              <w:fldChar w:fldCharType="separate"/>
            </w:r>
            <w:r w:rsidR="008A78C0">
              <w:rPr>
                <w:noProof/>
                <w:webHidden/>
              </w:rPr>
              <w:t>4</w:t>
            </w:r>
            <w:r w:rsidR="005C0EB9">
              <w:rPr>
                <w:noProof/>
                <w:webHidden/>
              </w:rPr>
              <w:fldChar w:fldCharType="end"/>
            </w:r>
          </w:hyperlink>
        </w:p>
        <w:p w14:paraId="74C2542E" w14:textId="738700D5" w:rsidR="005C0EB9" w:rsidRDefault="002E48AB">
          <w:pPr>
            <w:pStyle w:val="TDC1"/>
            <w:rPr>
              <w:rFonts w:eastAsiaTheme="minorEastAsia"/>
              <w:noProof/>
              <w:lang w:eastAsia="es-CR"/>
            </w:rPr>
          </w:pPr>
          <w:hyperlink w:anchor="_Toc108431892" w:history="1">
            <w:r w:rsidR="005C0EB9" w:rsidRPr="00F14D1E">
              <w:rPr>
                <w:rStyle w:val="Hipervnculo"/>
                <w:rFonts w:ascii="Arial" w:hAnsi="Arial" w:cs="Arial"/>
                <w:b/>
                <w:noProof/>
              </w:rPr>
              <w:t>1.4</w:t>
            </w:r>
            <w:r w:rsidR="005C0EB9">
              <w:rPr>
                <w:rFonts w:eastAsiaTheme="minorEastAsia"/>
                <w:noProof/>
                <w:lang w:eastAsia="es-CR"/>
              </w:rPr>
              <w:tab/>
            </w:r>
            <w:r w:rsidR="005C0EB9" w:rsidRPr="00F14D1E">
              <w:rPr>
                <w:rStyle w:val="Hipervnculo"/>
                <w:rFonts w:ascii="Arial" w:hAnsi="Arial" w:cs="Arial"/>
                <w:b/>
                <w:noProof/>
              </w:rPr>
              <w:t>Criterios de evaluación</w:t>
            </w:r>
            <w:r w:rsidR="005C0EB9">
              <w:rPr>
                <w:noProof/>
                <w:webHidden/>
              </w:rPr>
              <w:tab/>
            </w:r>
            <w:r w:rsidR="005C0EB9">
              <w:rPr>
                <w:noProof/>
                <w:webHidden/>
              </w:rPr>
              <w:fldChar w:fldCharType="begin"/>
            </w:r>
            <w:r w:rsidR="005C0EB9">
              <w:rPr>
                <w:noProof/>
                <w:webHidden/>
              </w:rPr>
              <w:instrText xml:space="preserve"> PAGEREF _Toc108431892 \h </w:instrText>
            </w:r>
            <w:r w:rsidR="005C0EB9">
              <w:rPr>
                <w:noProof/>
                <w:webHidden/>
              </w:rPr>
            </w:r>
            <w:r w:rsidR="005C0EB9">
              <w:rPr>
                <w:noProof/>
                <w:webHidden/>
              </w:rPr>
              <w:fldChar w:fldCharType="separate"/>
            </w:r>
            <w:r w:rsidR="008A78C0">
              <w:rPr>
                <w:noProof/>
                <w:webHidden/>
              </w:rPr>
              <w:t>4</w:t>
            </w:r>
            <w:r w:rsidR="005C0EB9">
              <w:rPr>
                <w:noProof/>
                <w:webHidden/>
              </w:rPr>
              <w:fldChar w:fldCharType="end"/>
            </w:r>
          </w:hyperlink>
        </w:p>
        <w:p w14:paraId="5E24538F" w14:textId="05C59FE9" w:rsidR="005C0EB9" w:rsidRDefault="002E48AB">
          <w:pPr>
            <w:pStyle w:val="TDC1"/>
            <w:rPr>
              <w:rFonts w:eastAsiaTheme="minorEastAsia"/>
              <w:noProof/>
              <w:lang w:eastAsia="es-CR"/>
            </w:rPr>
          </w:pPr>
          <w:hyperlink w:anchor="_Toc108431893" w:history="1">
            <w:r w:rsidR="005C0EB9" w:rsidRPr="00F14D1E">
              <w:rPr>
                <w:rStyle w:val="Hipervnculo"/>
                <w:rFonts w:ascii="Arial" w:hAnsi="Arial" w:cs="Arial"/>
                <w:b/>
                <w:noProof/>
              </w:rPr>
              <w:t>1.5</w:t>
            </w:r>
            <w:r w:rsidR="005C0EB9">
              <w:rPr>
                <w:rFonts w:eastAsiaTheme="minorEastAsia"/>
                <w:noProof/>
                <w:lang w:eastAsia="es-CR"/>
              </w:rPr>
              <w:tab/>
            </w:r>
            <w:r w:rsidR="005C0EB9" w:rsidRPr="00F14D1E">
              <w:rPr>
                <w:rStyle w:val="Hipervnculo"/>
                <w:rFonts w:ascii="Arial" w:hAnsi="Arial" w:cs="Arial"/>
                <w:b/>
                <w:noProof/>
              </w:rPr>
              <w:t>Metodología aplicada</w:t>
            </w:r>
            <w:r w:rsidR="005C0EB9">
              <w:rPr>
                <w:noProof/>
                <w:webHidden/>
              </w:rPr>
              <w:tab/>
            </w:r>
            <w:r w:rsidR="005C0EB9">
              <w:rPr>
                <w:noProof/>
                <w:webHidden/>
              </w:rPr>
              <w:fldChar w:fldCharType="begin"/>
            </w:r>
            <w:r w:rsidR="005C0EB9">
              <w:rPr>
                <w:noProof/>
                <w:webHidden/>
              </w:rPr>
              <w:instrText xml:space="preserve"> PAGEREF _Toc108431893 \h </w:instrText>
            </w:r>
            <w:r w:rsidR="005C0EB9">
              <w:rPr>
                <w:noProof/>
                <w:webHidden/>
              </w:rPr>
            </w:r>
            <w:r w:rsidR="005C0EB9">
              <w:rPr>
                <w:noProof/>
                <w:webHidden/>
              </w:rPr>
              <w:fldChar w:fldCharType="separate"/>
            </w:r>
            <w:r w:rsidR="008A78C0">
              <w:rPr>
                <w:noProof/>
                <w:webHidden/>
              </w:rPr>
              <w:t>4</w:t>
            </w:r>
            <w:r w:rsidR="005C0EB9">
              <w:rPr>
                <w:noProof/>
                <w:webHidden/>
              </w:rPr>
              <w:fldChar w:fldCharType="end"/>
            </w:r>
          </w:hyperlink>
        </w:p>
        <w:p w14:paraId="32A66FB0" w14:textId="1D4D4934" w:rsidR="005C0EB9" w:rsidRDefault="002E48AB">
          <w:pPr>
            <w:pStyle w:val="TDC1"/>
            <w:rPr>
              <w:rFonts w:eastAsiaTheme="minorEastAsia"/>
              <w:noProof/>
              <w:lang w:eastAsia="es-CR"/>
            </w:rPr>
          </w:pPr>
          <w:hyperlink w:anchor="_Toc108431894" w:history="1">
            <w:r w:rsidR="005C0EB9" w:rsidRPr="00F14D1E">
              <w:rPr>
                <w:rStyle w:val="Hipervnculo"/>
                <w:rFonts w:ascii="Arial" w:hAnsi="Arial" w:cs="Arial"/>
                <w:b/>
                <w:noProof/>
              </w:rPr>
              <w:t>1.6</w:t>
            </w:r>
            <w:r w:rsidR="005C0EB9">
              <w:rPr>
                <w:rFonts w:eastAsiaTheme="minorEastAsia"/>
                <w:noProof/>
                <w:lang w:eastAsia="es-CR"/>
              </w:rPr>
              <w:tab/>
            </w:r>
            <w:r w:rsidR="005C0EB9" w:rsidRPr="00F14D1E">
              <w:rPr>
                <w:rStyle w:val="Hipervnculo"/>
                <w:rFonts w:ascii="Arial" w:hAnsi="Arial" w:cs="Arial"/>
                <w:b/>
                <w:noProof/>
              </w:rPr>
              <w:t>Comunicación de resultados</w:t>
            </w:r>
            <w:r w:rsidR="005C0EB9">
              <w:rPr>
                <w:noProof/>
                <w:webHidden/>
              </w:rPr>
              <w:tab/>
            </w:r>
            <w:r w:rsidR="005C0EB9">
              <w:rPr>
                <w:noProof/>
                <w:webHidden/>
              </w:rPr>
              <w:fldChar w:fldCharType="begin"/>
            </w:r>
            <w:r w:rsidR="005C0EB9">
              <w:rPr>
                <w:noProof/>
                <w:webHidden/>
              </w:rPr>
              <w:instrText xml:space="preserve"> PAGEREF _Toc108431894 \h </w:instrText>
            </w:r>
            <w:r w:rsidR="005C0EB9">
              <w:rPr>
                <w:noProof/>
                <w:webHidden/>
              </w:rPr>
            </w:r>
            <w:r w:rsidR="005C0EB9">
              <w:rPr>
                <w:noProof/>
                <w:webHidden/>
              </w:rPr>
              <w:fldChar w:fldCharType="separate"/>
            </w:r>
            <w:r w:rsidR="008A78C0">
              <w:rPr>
                <w:noProof/>
                <w:webHidden/>
              </w:rPr>
              <w:t>5</w:t>
            </w:r>
            <w:r w:rsidR="005C0EB9">
              <w:rPr>
                <w:noProof/>
                <w:webHidden/>
              </w:rPr>
              <w:fldChar w:fldCharType="end"/>
            </w:r>
          </w:hyperlink>
        </w:p>
        <w:p w14:paraId="36178B81" w14:textId="043E5A0A" w:rsidR="005C0EB9" w:rsidRDefault="002E48AB">
          <w:pPr>
            <w:pStyle w:val="TDC1"/>
            <w:rPr>
              <w:rFonts w:eastAsiaTheme="minorEastAsia"/>
              <w:noProof/>
              <w:lang w:eastAsia="es-CR"/>
            </w:rPr>
          </w:pPr>
          <w:hyperlink w:anchor="_Toc108431895" w:history="1">
            <w:r w:rsidR="005C0EB9" w:rsidRPr="00F14D1E">
              <w:rPr>
                <w:rStyle w:val="Hipervnculo"/>
                <w:rFonts w:ascii="Arial" w:hAnsi="Arial" w:cs="Arial"/>
                <w:b/>
                <w:noProof/>
              </w:rPr>
              <w:t>1.7</w:t>
            </w:r>
            <w:r w:rsidR="005C0EB9">
              <w:rPr>
                <w:rFonts w:eastAsiaTheme="minorEastAsia"/>
                <w:noProof/>
                <w:lang w:eastAsia="es-CR"/>
              </w:rPr>
              <w:tab/>
            </w:r>
            <w:r w:rsidR="005C0EB9" w:rsidRPr="00F14D1E">
              <w:rPr>
                <w:rStyle w:val="Hipervnculo"/>
                <w:rFonts w:ascii="Arial" w:hAnsi="Arial" w:cs="Arial"/>
                <w:b/>
                <w:noProof/>
              </w:rPr>
              <w:t>Normativa relacionada con el control interno</w:t>
            </w:r>
            <w:r w:rsidR="005C0EB9">
              <w:rPr>
                <w:noProof/>
                <w:webHidden/>
              </w:rPr>
              <w:tab/>
            </w:r>
            <w:r w:rsidR="005C0EB9">
              <w:rPr>
                <w:noProof/>
                <w:webHidden/>
              </w:rPr>
              <w:fldChar w:fldCharType="begin"/>
            </w:r>
            <w:r w:rsidR="005C0EB9">
              <w:rPr>
                <w:noProof/>
                <w:webHidden/>
              </w:rPr>
              <w:instrText xml:space="preserve"> PAGEREF _Toc108431895 \h </w:instrText>
            </w:r>
            <w:r w:rsidR="005C0EB9">
              <w:rPr>
                <w:noProof/>
                <w:webHidden/>
              </w:rPr>
            </w:r>
            <w:r w:rsidR="005C0EB9">
              <w:rPr>
                <w:noProof/>
                <w:webHidden/>
              </w:rPr>
              <w:fldChar w:fldCharType="separate"/>
            </w:r>
            <w:r w:rsidR="008A78C0">
              <w:rPr>
                <w:noProof/>
                <w:webHidden/>
              </w:rPr>
              <w:t>5</w:t>
            </w:r>
            <w:r w:rsidR="005C0EB9">
              <w:rPr>
                <w:noProof/>
                <w:webHidden/>
              </w:rPr>
              <w:fldChar w:fldCharType="end"/>
            </w:r>
          </w:hyperlink>
        </w:p>
        <w:p w14:paraId="404FA22A" w14:textId="0E4653F1" w:rsidR="005C0EB9" w:rsidRDefault="002E48AB">
          <w:pPr>
            <w:pStyle w:val="TDC1"/>
            <w:rPr>
              <w:rFonts w:eastAsiaTheme="minorEastAsia"/>
              <w:noProof/>
              <w:lang w:eastAsia="es-CR"/>
            </w:rPr>
          </w:pPr>
          <w:hyperlink w:anchor="_Toc108431896" w:history="1">
            <w:r w:rsidR="005C0EB9" w:rsidRPr="00F14D1E">
              <w:rPr>
                <w:rStyle w:val="Hipervnculo"/>
                <w:rFonts w:ascii="Arial" w:hAnsi="Arial" w:cs="Arial"/>
                <w:b/>
                <w:noProof/>
              </w:rPr>
              <w:t>1.8</w:t>
            </w:r>
            <w:r w:rsidR="005C0EB9">
              <w:rPr>
                <w:rFonts w:eastAsiaTheme="minorEastAsia"/>
                <w:noProof/>
                <w:lang w:eastAsia="es-CR"/>
              </w:rPr>
              <w:tab/>
            </w:r>
            <w:r w:rsidR="005C0EB9" w:rsidRPr="00F14D1E">
              <w:rPr>
                <w:rStyle w:val="Hipervnculo"/>
                <w:rFonts w:ascii="Arial" w:hAnsi="Arial" w:cs="Arial"/>
                <w:b/>
                <w:noProof/>
              </w:rPr>
              <w:t>Generalidades</w:t>
            </w:r>
            <w:r w:rsidR="005C0EB9">
              <w:rPr>
                <w:noProof/>
                <w:webHidden/>
              </w:rPr>
              <w:tab/>
            </w:r>
            <w:r w:rsidR="005C0EB9">
              <w:rPr>
                <w:noProof/>
                <w:webHidden/>
              </w:rPr>
              <w:fldChar w:fldCharType="begin"/>
            </w:r>
            <w:r w:rsidR="005C0EB9">
              <w:rPr>
                <w:noProof/>
                <w:webHidden/>
              </w:rPr>
              <w:instrText xml:space="preserve"> PAGEREF _Toc108431896 \h </w:instrText>
            </w:r>
            <w:r w:rsidR="005C0EB9">
              <w:rPr>
                <w:noProof/>
                <w:webHidden/>
              </w:rPr>
            </w:r>
            <w:r w:rsidR="005C0EB9">
              <w:rPr>
                <w:noProof/>
                <w:webHidden/>
              </w:rPr>
              <w:fldChar w:fldCharType="separate"/>
            </w:r>
            <w:r w:rsidR="008A78C0">
              <w:rPr>
                <w:noProof/>
                <w:webHidden/>
              </w:rPr>
              <w:t>5</w:t>
            </w:r>
            <w:r w:rsidR="005C0EB9">
              <w:rPr>
                <w:noProof/>
                <w:webHidden/>
              </w:rPr>
              <w:fldChar w:fldCharType="end"/>
            </w:r>
          </w:hyperlink>
        </w:p>
        <w:p w14:paraId="4A0CF7FA" w14:textId="49A9C691" w:rsidR="005C0EB9" w:rsidRDefault="002E48AB">
          <w:pPr>
            <w:pStyle w:val="TDC1"/>
            <w:rPr>
              <w:rFonts w:eastAsiaTheme="minorEastAsia"/>
              <w:noProof/>
              <w:lang w:eastAsia="es-CR"/>
            </w:rPr>
          </w:pPr>
          <w:hyperlink w:anchor="_Toc108431897" w:history="1">
            <w:r w:rsidR="005C0EB9" w:rsidRPr="00F14D1E">
              <w:rPr>
                <w:rStyle w:val="Hipervnculo"/>
                <w:rFonts w:ascii="Arial" w:hAnsi="Arial" w:cs="Arial"/>
                <w:b/>
                <w:bCs/>
                <w:noProof/>
                <w:kern w:val="28"/>
                <w:lang w:eastAsia="es-ES"/>
              </w:rPr>
              <w:t>2.</w:t>
            </w:r>
            <w:r w:rsidR="005C0EB9">
              <w:rPr>
                <w:rFonts w:eastAsiaTheme="minorEastAsia"/>
                <w:noProof/>
                <w:lang w:eastAsia="es-CR"/>
              </w:rPr>
              <w:tab/>
            </w:r>
            <w:r w:rsidR="005C0EB9" w:rsidRPr="00F14D1E">
              <w:rPr>
                <w:rStyle w:val="Hipervnculo"/>
                <w:rFonts w:ascii="Arial" w:hAnsi="Arial" w:cs="Arial"/>
                <w:b/>
                <w:bCs/>
                <w:noProof/>
                <w:kern w:val="28"/>
                <w:lang w:eastAsia="es-ES"/>
              </w:rPr>
              <w:t>RESULTADOS</w:t>
            </w:r>
            <w:r w:rsidR="005C0EB9">
              <w:rPr>
                <w:noProof/>
                <w:webHidden/>
              </w:rPr>
              <w:tab/>
            </w:r>
            <w:r w:rsidR="005C0EB9">
              <w:rPr>
                <w:noProof/>
                <w:webHidden/>
              </w:rPr>
              <w:fldChar w:fldCharType="begin"/>
            </w:r>
            <w:r w:rsidR="005C0EB9">
              <w:rPr>
                <w:noProof/>
                <w:webHidden/>
              </w:rPr>
              <w:instrText xml:space="preserve"> PAGEREF _Toc108431897 \h </w:instrText>
            </w:r>
            <w:r w:rsidR="005C0EB9">
              <w:rPr>
                <w:noProof/>
                <w:webHidden/>
              </w:rPr>
            </w:r>
            <w:r w:rsidR="005C0EB9">
              <w:rPr>
                <w:noProof/>
                <w:webHidden/>
              </w:rPr>
              <w:fldChar w:fldCharType="separate"/>
            </w:r>
            <w:r w:rsidR="008A78C0">
              <w:rPr>
                <w:noProof/>
                <w:webHidden/>
              </w:rPr>
              <w:t>7</w:t>
            </w:r>
            <w:r w:rsidR="005C0EB9">
              <w:rPr>
                <w:noProof/>
                <w:webHidden/>
              </w:rPr>
              <w:fldChar w:fldCharType="end"/>
            </w:r>
          </w:hyperlink>
        </w:p>
        <w:p w14:paraId="6E92200A" w14:textId="00147447" w:rsidR="005C0EB9" w:rsidRDefault="002E48AB">
          <w:pPr>
            <w:pStyle w:val="TDC1"/>
            <w:rPr>
              <w:rFonts w:eastAsiaTheme="minorEastAsia"/>
              <w:noProof/>
              <w:lang w:eastAsia="es-CR"/>
            </w:rPr>
          </w:pPr>
          <w:hyperlink w:anchor="_Toc108431898" w:history="1">
            <w:r w:rsidR="005C0EB9" w:rsidRPr="00F14D1E">
              <w:rPr>
                <w:rStyle w:val="Hipervnculo"/>
                <w:rFonts w:ascii="Arial" w:hAnsi="Arial" w:cs="Arial"/>
                <w:b/>
                <w:noProof/>
                <w:lang w:val="es-ES_tradnl" w:eastAsia="es-ES"/>
              </w:rPr>
              <w:t>2.1</w:t>
            </w:r>
            <w:r w:rsidR="005C0EB9">
              <w:rPr>
                <w:rFonts w:eastAsiaTheme="minorEastAsia"/>
                <w:noProof/>
                <w:lang w:eastAsia="es-CR"/>
              </w:rPr>
              <w:tab/>
            </w:r>
            <w:r w:rsidR="005C0EB9" w:rsidRPr="00F14D1E">
              <w:rPr>
                <w:rStyle w:val="Hipervnculo"/>
                <w:rFonts w:ascii="Arial" w:hAnsi="Arial" w:cs="Arial"/>
                <w:b/>
                <w:noProof/>
                <w:lang w:val="es-ES_tradnl" w:eastAsia="es-ES"/>
              </w:rPr>
              <w:t>Sobre la aplicación de los controles establecidos en el proceso de contratación administrativa</w:t>
            </w:r>
            <w:r w:rsidR="005C0EB9">
              <w:rPr>
                <w:noProof/>
                <w:webHidden/>
              </w:rPr>
              <w:tab/>
            </w:r>
            <w:r w:rsidR="005C0EB9">
              <w:rPr>
                <w:noProof/>
                <w:webHidden/>
              </w:rPr>
              <w:fldChar w:fldCharType="begin"/>
            </w:r>
            <w:r w:rsidR="005C0EB9">
              <w:rPr>
                <w:noProof/>
                <w:webHidden/>
              </w:rPr>
              <w:instrText xml:space="preserve"> PAGEREF _Toc108431898 \h </w:instrText>
            </w:r>
            <w:r w:rsidR="005C0EB9">
              <w:rPr>
                <w:noProof/>
                <w:webHidden/>
              </w:rPr>
            </w:r>
            <w:r w:rsidR="005C0EB9">
              <w:rPr>
                <w:noProof/>
                <w:webHidden/>
              </w:rPr>
              <w:fldChar w:fldCharType="separate"/>
            </w:r>
            <w:r w:rsidR="008A78C0">
              <w:rPr>
                <w:noProof/>
                <w:webHidden/>
              </w:rPr>
              <w:t>7</w:t>
            </w:r>
            <w:r w:rsidR="005C0EB9">
              <w:rPr>
                <w:noProof/>
                <w:webHidden/>
              </w:rPr>
              <w:fldChar w:fldCharType="end"/>
            </w:r>
          </w:hyperlink>
        </w:p>
        <w:p w14:paraId="76E400E3" w14:textId="1C74572B" w:rsidR="005C0EB9" w:rsidRDefault="002E48AB">
          <w:pPr>
            <w:pStyle w:val="TDC1"/>
            <w:tabs>
              <w:tab w:val="left" w:pos="880"/>
            </w:tabs>
            <w:rPr>
              <w:rFonts w:eastAsiaTheme="minorEastAsia"/>
              <w:noProof/>
              <w:lang w:eastAsia="es-CR"/>
            </w:rPr>
          </w:pPr>
          <w:hyperlink w:anchor="_Toc108431899" w:history="1">
            <w:r w:rsidR="005C0EB9" w:rsidRPr="00F14D1E">
              <w:rPr>
                <w:rStyle w:val="Hipervnculo"/>
                <w:rFonts w:ascii="Arial" w:hAnsi="Arial" w:cs="Arial"/>
                <w:b/>
                <w:noProof/>
                <w:lang w:val="es-ES_tradnl" w:eastAsia="es-ES"/>
              </w:rPr>
              <w:t>2.1.1</w:t>
            </w:r>
            <w:r w:rsidR="005C0EB9">
              <w:rPr>
                <w:rFonts w:eastAsiaTheme="minorEastAsia"/>
                <w:noProof/>
                <w:lang w:eastAsia="es-CR"/>
              </w:rPr>
              <w:tab/>
            </w:r>
            <w:r w:rsidR="005C0EB9" w:rsidRPr="00F14D1E">
              <w:rPr>
                <w:rStyle w:val="Hipervnculo"/>
                <w:rFonts w:ascii="Arial" w:hAnsi="Arial" w:cs="Arial"/>
                <w:b/>
                <w:noProof/>
                <w:lang w:val="es-ES_tradnl" w:eastAsia="es-ES"/>
              </w:rPr>
              <w:t>Ausencia de cronogramas</w:t>
            </w:r>
            <w:r w:rsidR="005C0EB9">
              <w:rPr>
                <w:noProof/>
                <w:webHidden/>
              </w:rPr>
              <w:tab/>
            </w:r>
            <w:r w:rsidR="005C0EB9">
              <w:rPr>
                <w:noProof/>
                <w:webHidden/>
              </w:rPr>
              <w:fldChar w:fldCharType="begin"/>
            </w:r>
            <w:r w:rsidR="005C0EB9">
              <w:rPr>
                <w:noProof/>
                <w:webHidden/>
              </w:rPr>
              <w:instrText xml:space="preserve"> PAGEREF _Toc108431899 \h </w:instrText>
            </w:r>
            <w:r w:rsidR="005C0EB9">
              <w:rPr>
                <w:noProof/>
                <w:webHidden/>
              </w:rPr>
            </w:r>
            <w:r w:rsidR="005C0EB9">
              <w:rPr>
                <w:noProof/>
                <w:webHidden/>
              </w:rPr>
              <w:fldChar w:fldCharType="separate"/>
            </w:r>
            <w:r w:rsidR="008A78C0">
              <w:rPr>
                <w:noProof/>
                <w:webHidden/>
              </w:rPr>
              <w:t>7</w:t>
            </w:r>
            <w:r w:rsidR="005C0EB9">
              <w:rPr>
                <w:noProof/>
                <w:webHidden/>
              </w:rPr>
              <w:fldChar w:fldCharType="end"/>
            </w:r>
          </w:hyperlink>
        </w:p>
        <w:p w14:paraId="2402FBFA" w14:textId="6FA89323" w:rsidR="005C0EB9" w:rsidRDefault="002E48AB">
          <w:pPr>
            <w:pStyle w:val="TDC1"/>
            <w:tabs>
              <w:tab w:val="left" w:pos="880"/>
            </w:tabs>
            <w:rPr>
              <w:rFonts w:eastAsiaTheme="minorEastAsia"/>
              <w:noProof/>
              <w:lang w:eastAsia="es-CR"/>
            </w:rPr>
          </w:pPr>
          <w:hyperlink w:anchor="_Toc108431900" w:history="1">
            <w:r w:rsidR="005C0EB9" w:rsidRPr="00F14D1E">
              <w:rPr>
                <w:rStyle w:val="Hipervnculo"/>
                <w:rFonts w:ascii="Arial" w:hAnsi="Arial" w:cs="Arial"/>
                <w:b/>
                <w:noProof/>
                <w:lang w:val="es-ES_tradnl" w:eastAsia="es-ES"/>
              </w:rPr>
              <w:t>2.1.2</w:t>
            </w:r>
            <w:r w:rsidR="005C0EB9">
              <w:rPr>
                <w:rFonts w:eastAsiaTheme="minorEastAsia"/>
                <w:noProof/>
                <w:lang w:eastAsia="es-CR"/>
              </w:rPr>
              <w:tab/>
            </w:r>
            <w:r w:rsidR="005C0EB9" w:rsidRPr="00F14D1E">
              <w:rPr>
                <w:rStyle w:val="Hipervnculo"/>
                <w:rFonts w:ascii="Arial" w:hAnsi="Arial" w:cs="Arial"/>
                <w:b/>
                <w:noProof/>
                <w:lang w:val="es-ES_tradnl" w:eastAsia="es-ES"/>
              </w:rPr>
              <w:t>Ausencia de la bitácora y lista de verificación.</w:t>
            </w:r>
            <w:r w:rsidR="005C0EB9">
              <w:rPr>
                <w:noProof/>
                <w:webHidden/>
              </w:rPr>
              <w:tab/>
            </w:r>
            <w:r w:rsidR="005C0EB9">
              <w:rPr>
                <w:noProof/>
                <w:webHidden/>
              </w:rPr>
              <w:fldChar w:fldCharType="begin"/>
            </w:r>
            <w:r w:rsidR="005C0EB9">
              <w:rPr>
                <w:noProof/>
                <w:webHidden/>
              </w:rPr>
              <w:instrText xml:space="preserve"> PAGEREF _Toc108431900 \h </w:instrText>
            </w:r>
            <w:r w:rsidR="005C0EB9">
              <w:rPr>
                <w:noProof/>
                <w:webHidden/>
              </w:rPr>
            </w:r>
            <w:r w:rsidR="005C0EB9">
              <w:rPr>
                <w:noProof/>
                <w:webHidden/>
              </w:rPr>
              <w:fldChar w:fldCharType="separate"/>
            </w:r>
            <w:r w:rsidR="008A78C0">
              <w:rPr>
                <w:noProof/>
                <w:webHidden/>
              </w:rPr>
              <w:t>8</w:t>
            </w:r>
            <w:r w:rsidR="005C0EB9">
              <w:rPr>
                <w:noProof/>
                <w:webHidden/>
              </w:rPr>
              <w:fldChar w:fldCharType="end"/>
            </w:r>
          </w:hyperlink>
        </w:p>
        <w:p w14:paraId="218974DF" w14:textId="6F6342AB" w:rsidR="005C0EB9" w:rsidRDefault="002E48AB">
          <w:pPr>
            <w:pStyle w:val="TDC1"/>
            <w:rPr>
              <w:rFonts w:eastAsiaTheme="minorEastAsia"/>
              <w:noProof/>
              <w:lang w:eastAsia="es-CR"/>
            </w:rPr>
          </w:pPr>
          <w:hyperlink w:anchor="_Toc108431901" w:history="1">
            <w:r w:rsidR="005C0EB9" w:rsidRPr="00F14D1E">
              <w:rPr>
                <w:rStyle w:val="Hipervnculo"/>
                <w:rFonts w:ascii="Arial" w:hAnsi="Arial" w:cs="Arial"/>
                <w:b/>
                <w:noProof/>
                <w:lang w:val="es-ES_tradnl" w:eastAsia="es-ES"/>
              </w:rPr>
              <w:t>2.2</w:t>
            </w:r>
            <w:r w:rsidR="005C0EB9">
              <w:rPr>
                <w:rFonts w:eastAsiaTheme="minorEastAsia"/>
                <w:noProof/>
                <w:lang w:eastAsia="es-CR"/>
              </w:rPr>
              <w:tab/>
            </w:r>
            <w:r w:rsidR="005C0EB9" w:rsidRPr="00F14D1E">
              <w:rPr>
                <w:rStyle w:val="Hipervnculo"/>
                <w:rFonts w:ascii="Arial" w:hAnsi="Arial" w:cs="Arial"/>
                <w:b/>
                <w:noProof/>
                <w:lang w:val="es-ES_tradnl" w:eastAsia="es-ES"/>
              </w:rPr>
              <w:t>Sobre la falta de firma en el documento de especificaciones técnicas y condiciones generales</w:t>
            </w:r>
            <w:r w:rsidR="005C0EB9">
              <w:rPr>
                <w:noProof/>
                <w:webHidden/>
              </w:rPr>
              <w:tab/>
            </w:r>
            <w:r w:rsidR="005C0EB9">
              <w:rPr>
                <w:noProof/>
                <w:webHidden/>
              </w:rPr>
              <w:fldChar w:fldCharType="begin"/>
            </w:r>
            <w:r w:rsidR="005C0EB9">
              <w:rPr>
                <w:noProof/>
                <w:webHidden/>
              </w:rPr>
              <w:instrText xml:space="preserve"> PAGEREF _Toc108431901 \h </w:instrText>
            </w:r>
            <w:r w:rsidR="005C0EB9">
              <w:rPr>
                <w:noProof/>
                <w:webHidden/>
              </w:rPr>
            </w:r>
            <w:r w:rsidR="005C0EB9">
              <w:rPr>
                <w:noProof/>
                <w:webHidden/>
              </w:rPr>
              <w:fldChar w:fldCharType="separate"/>
            </w:r>
            <w:r w:rsidR="008A78C0">
              <w:rPr>
                <w:noProof/>
                <w:webHidden/>
              </w:rPr>
              <w:t>9</w:t>
            </w:r>
            <w:r w:rsidR="005C0EB9">
              <w:rPr>
                <w:noProof/>
                <w:webHidden/>
              </w:rPr>
              <w:fldChar w:fldCharType="end"/>
            </w:r>
          </w:hyperlink>
        </w:p>
        <w:p w14:paraId="31555AB1" w14:textId="2E64D5A8" w:rsidR="005C0EB9" w:rsidRDefault="002E48AB">
          <w:pPr>
            <w:pStyle w:val="TDC1"/>
            <w:rPr>
              <w:rFonts w:eastAsiaTheme="minorEastAsia"/>
              <w:noProof/>
              <w:lang w:eastAsia="es-CR"/>
            </w:rPr>
          </w:pPr>
          <w:hyperlink w:anchor="_Toc108431902" w:history="1">
            <w:r w:rsidR="005C0EB9" w:rsidRPr="00F14D1E">
              <w:rPr>
                <w:rStyle w:val="Hipervnculo"/>
                <w:rFonts w:ascii="Arial" w:hAnsi="Arial" w:cs="Arial"/>
                <w:b/>
                <w:noProof/>
                <w:lang w:val="es-ES_tradnl" w:eastAsia="es-ES"/>
              </w:rPr>
              <w:t>2.3</w:t>
            </w:r>
            <w:r w:rsidR="005C0EB9">
              <w:rPr>
                <w:rFonts w:eastAsiaTheme="minorEastAsia"/>
                <w:noProof/>
                <w:lang w:eastAsia="es-CR"/>
              </w:rPr>
              <w:tab/>
            </w:r>
            <w:r w:rsidR="005C0EB9" w:rsidRPr="00F14D1E">
              <w:rPr>
                <w:rStyle w:val="Hipervnculo"/>
                <w:rFonts w:ascii="Arial" w:hAnsi="Arial" w:cs="Arial"/>
                <w:b/>
                <w:noProof/>
                <w:lang w:val="es-ES_tradnl" w:eastAsia="es-ES"/>
              </w:rPr>
              <w:t>Sobre omisiones de documentación en el expediente electrónico de la contratación en el Sistema Integrado de Compras Públicas (SICOP)</w:t>
            </w:r>
            <w:r w:rsidR="005C0EB9">
              <w:rPr>
                <w:noProof/>
                <w:webHidden/>
              </w:rPr>
              <w:tab/>
            </w:r>
            <w:r w:rsidR="005C0EB9">
              <w:rPr>
                <w:noProof/>
                <w:webHidden/>
              </w:rPr>
              <w:fldChar w:fldCharType="begin"/>
            </w:r>
            <w:r w:rsidR="005C0EB9">
              <w:rPr>
                <w:noProof/>
                <w:webHidden/>
              </w:rPr>
              <w:instrText xml:space="preserve"> PAGEREF _Toc108431902 \h </w:instrText>
            </w:r>
            <w:r w:rsidR="005C0EB9">
              <w:rPr>
                <w:noProof/>
                <w:webHidden/>
              </w:rPr>
            </w:r>
            <w:r w:rsidR="005C0EB9">
              <w:rPr>
                <w:noProof/>
                <w:webHidden/>
              </w:rPr>
              <w:fldChar w:fldCharType="separate"/>
            </w:r>
            <w:r w:rsidR="008A78C0">
              <w:rPr>
                <w:noProof/>
                <w:webHidden/>
              </w:rPr>
              <w:t>9</w:t>
            </w:r>
            <w:r w:rsidR="005C0EB9">
              <w:rPr>
                <w:noProof/>
                <w:webHidden/>
              </w:rPr>
              <w:fldChar w:fldCharType="end"/>
            </w:r>
          </w:hyperlink>
        </w:p>
        <w:p w14:paraId="3284FD50" w14:textId="64DBD85D" w:rsidR="005C0EB9" w:rsidRDefault="002E48AB">
          <w:pPr>
            <w:pStyle w:val="TDC1"/>
            <w:rPr>
              <w:rFonts w:eastAsiaTheme="minorEastAsia"/>
              <w:noProof/>
              <w:lang w:eastAsia="es-CR"/>
            </w:rPr>
          </w:pPr>
          <w:hyperlink w:anchor="_Toc108431903" w:history="1">
            <w:r w:rsidR="005C0EB9" w:rsidRPr="00F14D1E">
              <w:rPr>
                <w:rStyle w:val="Hipervnculo"/>
                <w:rFonts w:ascii="Arial" w:hAnsi="Arial" w:cs="Arial"/>
                <w:b/>
                <w:bCs/>
                <w:noProof/>
                <w:kern w:val="28"/>
                <w:lang w:eastAsia="es-ES"/>
              </w:rPr>
              <w:t>2.4</w:t>
            </w:r>
            <w:r w:rsidR="005C0EB9">
              <w:rPr>
                <w:rFonts w:eastAsiaTheme="minorEastAsia"/>
                <w:noProof/>
                <w:lang w:eastAsia="es-CR"/>
              </w:rPr>
              <w:tab/>
            </w:r>
            <w:r w:rsidR="005C0EB9" w:rsidRPr="00F14D1E">
              <w:rPr>
                <w:rStyle w:val="Hipervnculo"/>
                <w:rFonts w:ascii="Arial" w:hAnsi="Arial" w:cs="Arial"/>
                <w:b/>
                <w:noProof/>
                <w:lang w:val="es-ES_tradnl" w:eastAsia="es-ES"/>
              </w:rPr>
              <w:t>Monitoreo de la Concentración de Proveedores</w:t>
            </w:r>
            <w:r w:rsidR="005C0EB9">
              <w:rPr>
                <w:noProof/>
                <w:webHidden/>
              </w:rPr>
              <w:tab/>
            </w:r>
            <w:r w:rsidR="005C0EB9">
              <w:rPr>
                <w:noProof/>
                <w:webHidden/>
              </w:rPr>
              <w:fldChar w:fldCharType="begin"/>
            </w:r>
            <w:r w:rsidR="005C0EB9">
              <w:rPr>
                <w:noProof/>
                <w:webHidden/>
              </w:rPr>
              <w:instrText xml:space="preserve"> PAGEREF _Toc108431903 \h </w:instrText>
            </w:r>
            <w:r w:rsidR="005C0EB9">
              <w:rPr>
                <w:noProof/>
                <w:webHidden/>
              </w:rPr>
            </w:r>
            <w:r w:rsidR="005C0EB9">
              <w:rPr>
                <w:noProof/>
                <w:webHidden/>
              </w:rPr>
              <w:fldChar w:fldCharType="separate"/>
            </w:r>
            <w:r w:rsidR="008A78C0">
              <w:rPr>
                <w:noProof/>
                <w:webHidden/>
              </w:rPr>
              <w:t>11</w:t>
            </w:r>
            <w:r w:rsidR="005C0EB9">
              <w:rPr>
                <w:noProof/>
                <w:webHidden/>
              </w:rPr>
              <w:fldChar w:fldCharType="end"/>
            </w:r>
          </w:hyperlink>
        </w:p>
        <w:p w14:paraId="32F6A4B4" w14:textId="19A9F0AC" w:rsidR="005C0EB9" w:rsidRDefault="002E48AB">
          <w:pPr>
            <w:pStyle w:val="TDC1"/>
            <w:rPr>
              <w:rFonts w:eastAsiaTheme="minorEastAsia"/>
              <w:noProof/>
              <w:lang w:eastAsia="es-CR"/>
            </w:rPr>
          </w:pPr>
          <w:hyperlink w:anchor="_Toc108431904" w:history="1">
            <w:r w:rsidR="005C0EB9" w:rsidRPr="00F14D1E">
              <w:rPr>
                <w:rStyle w:val="Hipervnculo"/>
                <w:rFonts w:ascii="Arial" w:hAnsi="Arial" w:cs="Arial"/>
                <w:b/>
                <w:bCs/>
                <w:noProof/>
                <w:kern w:val="28"/>
                <w:lang w:eastAsia="es-ES"/>
              </w:rPr>
              <w:t>3. CONCLUSIÓN</w:t>
            </w:r>
            <w:r w:rsidR="005C0EB9">
              <w:rPr>
                <w:noProof/>
                <w:webHidden/>
              </w:rPr>
              <w:tab/>
            </w:r>
            <w:r w:rsidR="005C0EB9">
              <w:rPr>
                <w:noProof/>
                <w:webHidden/>
              </w:rPr>
              <w:fldChar w:fldCharType="begin"/>
            </w:r>
            <w:r w:rsidR="005C0EB9">
              <w:rPr>
                <w:noProof/>
                <w:webHidden/>
              </w:rPr>
              <w:instrText xml:space="preserve"> PAGEREF _Toc108431904 \h </w:instrText>
            </w:r>
            <w:r w:rsidR="005C0EB9">
              <w:rPr>
                <w:noProof/>
                <w:webHidden/>
              </w:rPr>
            </w:r>
            <w:r w:rsidR="005C0EB9">
              <w:rPr>
                <w:noProof/>
                <w:webHidden/>
              </w:rPr>
              <w:fldChar w:fldCharType="separate"/>
            </w:r>
            <w:r w:rsidR="008A78C0">
              <w:rPr>
                <w:noProof/>
                <w:webHidden/>
              </w:rPr>
              <w:t>11</w:t>
            </w:r>
            <w:r w:rsidR="005C0EB9">
              <w:rPr>
                <w:noProof/>
                <w:webHidden/>
              </w:rPr>
              <w:fldChar w:fldCharType="end"/>
            </w:r>
          </w:hyperlink>
        </w:p>
        <w:p w14:paraId="3B196189" w14:textId="5CDB7BB9" w:rsidR="005C0EB9" w:rsidRDefault="002E48AB">
          <w:pPr>
            <w:pStyle w:val="TDC1"/>
            <w:rPr>
              <w:rFonts w:eastAsiaTheme="minorEastAsia"/>
              <w:noProof/>
              <w:lang w:eastAsia="es-CR"/>
            </w:rPr>
          </w:pPr>
          <w:hyperlink w:anchor="_Toc108431905" w:history="1">
            <w:r w:rsidR="005C0EB9" w:rsidRPr="00F14D1E">
              <w:rPr>
                <w:rStyle w:val="Hipervnculo"/>
                <w:rFonts w:ascii="Arial" w:hAnsi="Arial" w:cs="Arial"/>
                <w:b/>
                <w:bCs/>
                <w:noProof/>
                <w:kern w:val="28"/>
                <w:lang w:eastAsia="es-ES"/>
              </w:rPr>
              <w:t>4.</w:t>
            </w:r>
            <w:r w:rsidR="005C0EB9">
              <w:rPr>
                <w:rFonts w:eastAsiaTheme="minorEastAsia"/>
                <w:noProof/>
                <w:lang w:eastAsia="es-CR"/>
              </w:rPr>
              <w:tab/>
            </w:r>
            <w:r w:rsidR="005C0EB9" w:rsidRPr="00F14D1E">
              <w:rPr>
                <w:rStyle w:val="Hipervnculo"/>
                <w:rFonts w:ascii="Arial" w:hAnsi="Arial" w:cs="Arial"/>
                <w:b/>
                <w:bCs/>
                <w:noProof/>
                <w:kern w:val="28"/>
                <w:lang w:eastAsia="es-ES"/>
              </w:rPr>
              <w:t>RECOMENDACIONES</w:t>
            </w:r>
            <w:r w:rsidR="005C0EB9">
              <w:rPr>
                <w:noProof/>
                <w:webHidden/>
              </w:rPr>
              <w:tab/>
            </w:r>
            <w:r w:rsidR="005C0EB9">
              <w:rPr>
                <w:noProof/>
                <w:webHidden/>
              </w:rPr>
              <w:fldChar w:fldCharType="begin"/>
            </w:r>
            <w:r w:rsidR="005C0EB9">
              <w:rPr>
                <w:noProof/>
                <w:webHidden/>
              </w:rPr>
              <w:instrText xml:space="preserve"> PAGEREF _Toc108431905 \h </w:instrText>
            </w:r>
            <w:r w:rsidR="005C0EB9">
              <w:rPr>
                <w:noProof/>
                <w:webHidden/>
              </w:rPr>
            </w:r>
            <w:r w:rsidR="005C0EB9">
              <w:rPr>
                <w:noProof/>
                <w:webHidden/>
              </w:rPr>
              <w:fldChar w:fldCharType="separate"/>
            </w:r>
            <w:r w:rsidR="008A78C0">
              <w:rPr>
                <w:noProof/>
                <w:webHidden/>
              </w:rPr>
              <w:t>12</w:t>
            </w:r>
            <w:r w:rsidR="005C0EB9">
              <w:rPr>
                <w:noProof/>
                <w:webHidden/>
              </w:rPr>
              <w:fldChar w:fldCharType="end"/>
            </w:r>
          </w:hyperlink>
        </w:p>
        <w:p w14:paraId="0BB73F49" w14:textId="5FCBB653" w:rsidR="0055222A" w:rsidRPr="004644EB" w:rsidRDefault="0055222A" w:rsidP="006C7F40">
          <w:pPr>
            <w:spacing w:after="0" w:line="240" w:lineRule="auto"/>
            <w:contextualSpacing/>
            <w:rPr>
              <w:rFonts w:ascii="Arial" w:hAnsi="Arial" w:cs="Arial"/>
              <w:b/>
            </w:rPr>
          </w:pPr>
          <w:r w:rsidRPr="00441749">
            <w:rPr>
              <w:rFonts w:ascii="Arial" w:hAnsi="Arial" w:cs="Arial"/>
              <w:b/>
              <w:bCs/>
            </w:rPr>
            <w:fldChar w:fldCharType="end"/>
          </w:r>
        </w:p>
      </w:sdtContent>
    </w:sdt>
    <w:bookmarkStart w:id="4" w:name="_Toc363725340" w:displacedByCustomXml="prev"/>
    <w:bookmarkStart w:id="5" w:name="_Toc390783321" w:displacedByCustomXml="prev"/>
    <w:p w14:paraId="10039130" w14:textId="77777777" w:rsidR="004334A8" w:rsidRDefault="004334A8" w:rsidP="004334A8">
      <w:pPr>
        <w:spacing w:after="0" w:line="240" w:lineRule="auto"/>
        <w:contextualSpacing/>
        <w:rPr>
          <w:rFonts w:ascii="Arial" w:hAnsi="Arial" w:cs="Arial"/>
          <w:b/>
          <w:color w:val="44546A" w:themeColor="text2"/>
          <w:sz w:val="24"/>
          <w:szCs w:val="24"/>
        </w:rPr>
      </w:pPr>
    </w:p>
    <w:p w14:paraId="73E5A4B8" w14:textId="77777777" w:rsidR="00552D74" w:rsidRDefault="00552D74" w:rsidP="004334A8">
      <w:pPr>
        <w:spacing w:after="0" w:line="240" w:lineRule="auto"/>
        <w:contextualSpacing/>
        <w:rPr>
          <w:rFonts w:ascii="Arial" w:hAnsi="Arial" w:cs="Arial"/>
          <w:b/>
          <w:color w:val="44546A" w:themeColor="text2"/>
          <w:sz w:val="24"/>
          <w:szCs w:val="24"/>
        </w:rPr>
      </w:pPr>
    </w:p>
    <w:p w14:paraId="4BED0F38" w14:textId="77777777" w:rsidR="00552D74" w:rsidRDefault="00552D74" w:rsidP="004334A8">
      <w:pPr>
        <w:spacing w:after="0" w:line="240" w:lineRule="auto"/>
        <w:contextualSpacing/>
        <w:rPr>
          <w:rFonts w:ascii="Arial" w:hAnsi="Arial" w:cs="Arial"/>
          <w:b/>
          <w:color w:val="44546A" w:themeColor="text2"/>
          <w:sz w:val="24"/>
          <w:szCs w:val="24"/>
        </w:rPr>
      </w:pPr>
    </w:p>
    <w:p w14:paraId="606DB23B" w14:textId="77777777" w:rsidR="00DA7916" w:rsidRDefault="00DA7916">
      <w:pPr>
        <w:rPr>
          <w:rFonts w:ascii="Arial" w:hAnsi="Arial" w:cs="Arial"/>
          <w:b/>
          <w:color w:val="44546A" w:themeColor="text2"/>
          <w:sz w:val="24"/>
          <w:szCs w:val="24"/>
        </w:rPr>
      </w:pPr>
      <w:r>
        <w:rPr>
          <w:rFonts w:ascii="Arial" w:hAnsi="Arial" w:cs="Arial"/>
          <w:b/>
          <w:color w:val="44546A" w:themeColor="text2"/>
          <w:sz w:val="24"/>
          <w:szCs w:val="24"/>
        </w:rPr>
        <w:br w:type="page"/>
      </w:r>
    </w:p>
    <w:p w14:paraId="6B5B67EF" w14:textId="77777777" w:rsidR="0055222A" w:rsidRPr="00A136E4" w:rsidRDefault="0055222A" w:rsidP="004E15AA">
      <w:pPr>
        <w:spacing w:after="0" w:line="240" w:lineRule="auto"/>
        <w:contextualSpacing/>
        <w:jc w:val="center"/>
        <w:rPr>
          <w:rFonts w:ascii="Arial" w:hAnsi="Arial" w:cs="Arial"/>
          <w:b/>
          <w:color w:val="44546A" w:themeColor="text2"/>
          <w:sz w:val="24"/>
          <w:szCs w:val="24"/>
        </w:rPr>
      </w:pPr>
      <w:r w:rsidRPr="00A136E4">
        <w:rPr>
          <w:rFonts w:ascii="Arial" w:hAnsi="Arial" w:cs="Arial"/>
          <w:b/>
          <w:color w:val="44546A" w:themeColor="text2"/>
          <w:sz w:val="24"/>
          <w:szCs w:val="24"/>
        </w:rPr>
        <w:lastRenderedPageBreak/>
        <w:t>RESUMEN EJECUTIVO</w:t>
      </w:r>
      <w:bookmarkEnd w:id="5"/>
      <w:bookmarkEnd w:id="4"/>
    </w:p>
    <w:p w14:paraId="2CAF283F" w14:textId="77777777" w:rsidR="00884B9E" w:rsidRPr="0043627B" w:rsidRDefault="00884B9E">
      <w:pPr>
        <w:spacing w:after="0" w:line="240" w:lineRule="auto"/>
        <w:contextualSpacing/>
        <w:rPr>
          <w:rFonts w:ascii="Arial" w:hAnsi="Arial" w:cs="Arial"/>
          <w:sz w:val="24"/>
          <w:szCs w:val="24"/>
        </w:rPr>
      </w:pPr>
    </w:p>
    <w:p w14:paraId="56A7CC6E" w14:textId="77777777" w:rsidR="0055222A" w:rsidRPr="00A136E4" w:rsidRDefault="0055222A">
      <w:pPr>
        <w:spacing w:after="0" w:line="240" w:lineRule="auto"/>
        <w:contextualSpacing/>
        <w:rPr>
          <w:rFonts w:ascii="Arial" w:hAnsi="Arial" w:cs="Arial"/>
          <w:b/>
          <w:color w:val="44546A" w:themeColor="text2"/>
          <w:sz w:val="24"/>
          <w:szCs w:val="24"/>
        </w:rPr>
      </w:pPr>
      <w:r w:rsidRPr="00A136E4">
        <w:rPr>
          <w:rFonts w:ascii="Arial" w:hAnsi="Arial" w:cs="Arial"/>
          <w:b/>
          <w:color w:val="44546A" w:themeColor="text2"/>
          <w:sz w:val="24"/>
          <w:szCs w:val="24"/>
        </w:rPr>
        <w:t>¿QUÉ EXAMINAMOS?</w:t>
      </w:r>
    </w:p>
    <w:p w14:paraId="7E5A861A" w14:textId="77777777" w:rsidR="0055222A" w:rsidRPr="0043627B" w:rsidRDefault="0055222A">
      <w:pPr>
        <w:spacing w:after="0" w:line="240" w:lineRule="auto"/>
        <w:contextualSpacing/>
        <w:rPr>
          <w:rFonts w:ascii="Arial" w:hAnsi="Arial" w:cs="Arial"/>
          <w:sz w:val="24"/>
          <w:szCs w:val="24"/>
        </w:rPr>
      </w:pPr>
    </w:p>
    <w:p w14:paraId="71D79418" w14:textId="77777777" w:rsidR="0088745B" w:rsidRPr="00CF4FB9" w:rsidRDefault="0088745B" w:rsidP="00CF4FB9">
      <w:pPr>
        <w:spacing w:after="0" w:line="240" w:lineRule="auto"/>
        <w:contextualSpacing/>
        <w:jc w:val="both"/>
        <w:rPr>
          <w:rFonts w:ascii="Arial" w:hAnsi="Arial" w:cs="Arial"/>
        </w:rPr>
      </w:pPr>
      <w:r w:rsidRPr="00CF4FB9">
        <w:rPr>
          <w:rFonts w:ascii="Arial" w:hAnsi="Arial" w:cs="Arial"/>
        </w:rPr>
        <w:t xml:space="preserve">El estudio de auditoría tuvo como propósito verificar si el proceso de Contratación Administrativa que realiza la </w:t>
      </w:r>
      <w:bookmarkStart w:id="6" w:name="_Hlk104361130"/>
      <w:r w:rsidRPr="00CF4FB9">
        <w:rPr>
          <w:rFonts w:ascii="Arial" w:hAnsi="Arial" w:cs="Arial"/>
        </w:rPr>
        <w:t>Proveeduría Institucional</w:t>
      </w:r>
      <w:bookmarkEnd w:id="6"/>
      <w:r w:rsidRPr="00CF4FB9">
        <w:rPr>
          <w:rFonts w:ascii="Arial" w:hAnsi="Arial" w:cs="Arial"/>
        </w:rPr>
        <w:t xml:space="preserve"> cumple con el bloque de legalidad vigente</w:t>
      </w:r>
      <w:r w:rsidR="00DA27B1">
        <w:rPr>
          <w:rFonts w:ascii="Arial" w:hAnsi="Arial" w:cs="Arial"/>
        </w:rPr>
        <w:t xml:space="preserve">, </w:t>
      </w:r>
      <w:r w:rsidR="00DA27B1" w:rsidRPr="00DA27B1">
        <w:rPr>
          <w:rFonts w:ascii="Arial" w:hAnsi="Arial" w:cs="Arial"/>
        </w:rPr>
        <w:t>en el período comprendido entre enero 2020 a</w:t>
      </w:r>
      <w:r w:rsidR="00C72533">
        <w:rPr>
          <w:rFonts w:ascii="Arial" w:hAnsi="Arial" w:cs="Arial"/>
        </w:rPr>
        <w:t xml:space="preserve"> </w:t>
      </w:r>
      <w:r w:rsidR="00DA27B1" w:rsidRPr="00DA27B1">
        <w:rPr>
          <w:rFonts w:ascii="Arial" w:hAnsi="Arial" w:cs="Arial"/>
        </w:rPr>
        <w:t>diciembre 202</w:t>
      </w:r>
      <w:r w:rsidR="00C72533">
        <w:rPr>
          <w:rFonts w:ascii="Arial" w:hAnsi="Arial" w:cs="Arial"/>
        </w:rPr>
        <w:t>1</w:t>
      </w:r>
      <w:r w:rsidR="00DA27B1" w:rsidRPr="00DA27B1">
        <w:rPr>
          <w:rFonts w:ascii="Arial" w:hAnsi="Arial" w:cs="Arial"/>
        </w:rPr>
        <w:t>, ampliándose en aquellos casos en que se consideró necesario.</w:t>
      </w:r>
    </w:p>
    <w:p w14:paraId="76595846" w14:textId="77777777" w:rsidR="0088745B" w:rsidRPr="0088745B" w:rsidRDefault="0088745B" w:rsidP="0088745B">
      <w:pPr>
        <w:spacing w:after="0" w:line="240" w:lineRule="auto"/>
        <w:contextualSpacing/>
        <w:rPr>
          <w:rFonts w:ascii="Arial" w:hAnsi="Arial" w:cs="Arial"/>
        </w:rPr>
      </w:pPr>
    </w:p>
    <w:p w14:paraId="5C9C637F" w14:textId="77777777" w:rsidR="0055222A" w:rsidRPr="0024124B" w:rsidRDefault="0055222A">
      <w:pPr>
        <w:spacing w:after="0" w:line="240" w:lineRule="auto"/>
        <w:contextualSpacing/>
        <w:rPr>
          <w:rFonts w:ascii="Arial" w:eastAsiaTheme="minorEastAsia" w:hAnsi="Arial" w:cs="Arial"/>
          <w:b/>
          <w:color w:val="44546A" w:themeColor="text2"/>
          <w:sz w:val="24"/>
          <w:szCs w:val="24"/>
          <w:lang w:val="es-ES_tradnl" w:eastAsia="es-ES"/>
        </w:rPr>
      </w:pPr>
      <w:r w:rsidRPr="0024124B">
        <w:rPr>
          <w:rFonts w:ascii="Arial" w:eastAsiaTheme="minorEastAsia" w:hAnsi="Arial" w:cs="Arial"/>
          <w:b/>
          <w:color w:val="44546A" w:themeColor="text2"/>
          <w:sz w:val="24"/>
          <w:szCs w:val="24"/>
          <w:lang w:val="es-ES_tradnl" w:eastAsia="es-ES"/>
        </w:rPr>
        <w:t>¿POR QUÉ ES IMPORTANTE?</w:t>
      </w:r>
    </w:p>
    <w:p w14:paraId="76A1F8E4" w14:textId="77777777" w:rsidR="0043627B" w:rsidRDefault="0043627B">
      <w:pPr>
        <w:spacing w:after="0" w:line="240" w:lineRule="auto"/>
        <w:contextualSpacing/>
        <w:rPr>
          <w:rFonts w:ascii="Arial" w:hAnsi="Arial" w:cs="Arial"/>
          <w:sz w:val="24"/>
          <w:szCs w:val="24"/>
        </w:rPr>
      </w:pPr>
    </w:p>
    <w:p w14:paraId="3ED64966" w14:textId="3695444E" w:rsidR="00B65C9F" w:rsidRDefault="007F4556" w:rsidP="00CF4FB9">
      <w:pPr>
        <w:spacing w:after="0" w:line="240" w:lineRule="auto"/>
        <w:contextualSpacing/>
        <w:jc w:val="both"/>
        <w:rPr>
          <w:rFonts w:ascii="Arial" w:hAnsi="Arial" w:cs="Arial"/>
        </w:rPr>
      </w:pPr>
      <w:r w:rsidRPr="007F4556">
        <w:rPr>
          <w:rFonts w:ascii="Arial" w:hAnsi="Arial" w:cs="Arial"/>
        </w:rPr>
        <w:t>La Proveeduría Institucional, es la encargada de tramitar todos los procedimientos de contratación administrativa para la adquisición de bienes y servicios que se requieran en el Ministerio de Hacienda, por lo cual</w:t>
      </w:r>
      <w:r w:rsidR="00B17C78">
        <w:rPr>
          <w:rFonts w:ascii="Arial" w:hAnsi="Arial" w:cs="Arial"/>
        </w:rPr>
        <w:t>,</w:t>
      </w:r>
      <w:r w:rsidRPr="007F4556">
        <w:rPr>
          <w:rFonts w:ascii="Arial" w:hAnsi="Arial" w:cs="Arial"/>
        </w:rPr>
        <w:t xml:space="preserve"> en el cumplimiento de sus funciones deberán observar </w:t>
      </w:r>
      <w:r w:rsidR="00061EDC">
        <w:rPr>
          <w:rFonts w:ascii="Arial" w:hAnsi="Arial" w:cs="Arial"/>
        </w:rPr>
        <w:t>el cumplimiento de</w:t>
      </w:r>
      <w:r w:rsidRPr="007F4556">
        <w:rPr>
          <w:rFonts w:ascii="Arial" w:hAnsi="Arial" w:cs="Arial"/>
        </w:rPr>
        <w:t xml:space="preserve"> las disposiciones legales y reglamentarias que resulten aplicables por razón de la materia,</w:t>
      </w:r>
      <w:r w:rsidR="00B17C78">
        <w:rPr>
          <w:rFonts w:ascii="Arial" w:hAnsi="Arial" w:cs="Arial"/>
        </w:rPr>
        <w:t xml:space="preserve"> pues</w:t>
      </w:r>
      <w:r w:rsidRPr="007F4556">
        <w:rPr>
          <w:rFonts w:ascii="Arial" w:hAnsi="Arial" w:cs="Arial"/>
        </w:rPr>
        <w:t xml:space="preserve"> son la base para diseñar e implementar los lineamientos y las prácticas necesarias para normar los distintos procedimientos y orientarlos al cumplimiento de los fines, metas y objetivos institucionales.</w:t>
      </w:r>
    </w:p>
    <w:p w14:paraId="3DCAB096" w14:textId="77777777" w:rsidR="0088745B" w:rsidRPr="00B65C9F" w:rsidRDefault="0088745B" w:rsidP="0088745B">
      <w:pPr>
        <w:spacing w:after="0" w:line="240" w:lineRule="auto"/>
        <w:contextualSpacing/>
        <w:jc w:val="both"/>
        <w:rPr>
          <w:rFonts w:ascii="Arial" w:hAnsi="Arial" w:cs="Arial"/>
        </w:rPr>
      </w:pPr>
    </w:p>
    <w:p w14:paraId="23E53EDD" w14:textId="77777777" w:rsidR="0055222A" w:rsidRPr="00A51503" w:rsidRDefault="0055222A">
      <w:pPr>
        <w:spacing w:after="0" w:line="240" w:lineRule="auto"/>
        <w:contextualSpacing/>
        <w:rPr>
          <w:rFonts w:ascii="Arial" w:hAnsi="Arial" w:cs="Arial"/>
          <w:b/>
          <w:color w:val="40546A"/>
          <w:sz w:val="24"/>
          <w:szCs w:val="24"/>
        </w:rPr>
      </w:pPr>
      <w:r w:rsidRPr="00A51503">
        <w:rPr>
          <w:rFonts w:ascii="Arial" w:hAnsi="Arial" w:cs="Arial"/>
          <w:b/>
          <w:color w:val="40546A"/>
          <w:sz w:val="24"/>
          <w:szCs w:val="24"/>
        </w:rPr>
        <w:t>¿QUÉ ENCONTRAMOS?</w:t>
      </w:r>
    </w:p>
    <w:p w14:paraId="2CA96BFE" w14:textId="77777777" w:rsidR="00836FBE" w:rsidRDefault="00836FBE">
      <w:pPr>
        <w:spacing w:after="0" w:line="240" w:lineRule="auto"/>
        <w:contextualSpacing/>
        <w:rPr>
          <w:rFonts w:ascii="Arial" w:hAnsi="Arial" w:cs="Arial"/>
          <w:b/>
          <w:color w:val="44546A" w:themeColor="text2"/>
          <w:sz w:val="24"/>
          <w:szCs w:val="24"/>
        </w:rPr>
      </w:pPr>
    </w:p>
    <w:p w14:paraId="7AA0C297" w14:textId="77777777" w:rsidR="00F4061D" w:rsidRDefault="0088745B" w:rsidP="00C926D0">
      <w:pPr>
        <w:spacing w:after="0" w:line="240" w:lineRule="auto"/>
        <w:contextualSpacing/>
        <w:jc w:val="both"/>
        <w:rPr>
          <w:rFonts w:ascii="Arial" w:hAnsi="Arial" w:cs="Arial"/>
        </w:rPr>
      </w:pPr>
      <w:r w:rsidRPr="0088745B">
        <w:rPr>
          <w:rFonts w:ascii="Arial" w:hAnsi="Arial" w:cs="Arial"/>
        </w:rPr>
        <w:t xml:space="preserve">Producto de la revisión realizada, se determinó debilidades relacionadas con la no aplicación de los mecanismos de control establecidos para dar cumplimiento efectivo a la normativa vigente en materia de contratación administrativa, específicamente en cuanto al cronograma de actividades, lista de verificación y bitácora; asimismo, </w:t>
      </w:r>
      <w:r w:rsidR="00991ACA" w:rsidRPr="00991ACA">
        <w:rPr>
          <w:rFonts w:ascii="Arial" w:hAnsi="Arial" w:cs="Arial"/>
        </w:rPr>
        <w:t xml:space="preserve">se evidencian debilidades relacionadas </w:t>
      </w:r>
      <w:r w:rsidR="00C926D0">
        <w:rPr>
          <w:rFonts w:ascii="Arial" w:hAnsi="Arial" w:cs="Arial"/>
        </w:rPr>
        <w:t xml:space="preserve">con </w:t>
      </w:r>
      <w:r w:rsidRPr="0088745B">
        <w:rPr>
          <w:rFonts w:ascii="Arial" w:hAnsi="Arial" w:cs="Arial"/>
        </w:rPr>
        <w:t xml:space="preserve">la documentación </w:t>
      </w:r>
      <w:r w:rsidR="00CE1D60">
        <w:rPr>
          <w:rFonts w:ascii="Arial" w:hAnsi="Arial" w:cs="Arial"/>
        </w:rPr>
        <w:t xml:space="preserve">e información que debe contener el </w:t>
      </w:r>
      <w:r w:rsidRPr="0088745B">
        <w:rPr>
          <w:rFonts w:ascii="Arial" w:hAnsi="Arial" w:cs="Arial"/>
        </w:rPr>
        <w:t>expediente</w:t>
      </w:r>
      <w:r w:rsidR="00CE1D60">
        <w:rPr>
          <w:rFonts w:ascii="Arial" w:hAnsi="Arial" w:cs="Arial"/>
        </w:rPr>
        <w:t xml:space="preserve"> electrónico de la contratación</w:t>
      </w:r>
      <w:r w:rsidR="00C926D0" w:rsidRPr="00C926D0">
        <w:rPr>
          <w:rFonts w:ascii="Arial" w:hAnsi="Arial" w:cs="Arial"/>
        </w:rPr>
        <w:t xml:space="preserve"> </w:t>
      </w:r>
      <w:r w:rsidR="00C926D0">
        <w:rPr>
          <w:rFonts w:ascii="Arial" w:hAnsi="Arial" w:cs="Arial"/>
        </w:rPr>
        <w:t xml:space="preserve">como </w:t>
      </w:r>
      <w:r w:rsidR="00C926D0" w:rsidRPr="00991ACA">
        <w:rPr>
          <w:rFonts w:ascii="Arial" w:hAnsi="Arial" w:cs="Arial"/>
        </w:rPr>
        <w:t>respaldo de la contratación</w:t>
      </w:r>
      <w:r w:rsidR="00C926D0">
        <w:rPr>
          <w:rFonts w:ascii="Arial" w:hAnsi="Arial" w:cs="Arial"/>
        </w:rPr>
        <w:t xml:space="preserve">. </w:t>
      </w:r>
    </w:p>
    <w:p w14:paraId="04561A76" w14:textId="77777777" w:rsidR="00F4061D" w:rsidRDefault="00F4061D" w:rsidP="00C926D0">
      <w:pPr>
        <w:spacing w:after="0" w:line="240" w:lineRule="auto"/>
        <w:contextualSpacing/>
        <w:jc w:val="both"/>
        <w:rPr>
          <w:rFonts w:ascii="Arial" w:hAnsi="Arial" w:cs="Arial"/>
        </w:rPr>
      </w:pPr>
    </w:p>
    <w:p w14:paraId="7641E13A" w14:textId="77777777" w:rsidR="00B65C9F" w:rsidRDefault="00C926D0" w:rsidP="00C926D0">
      <w:pPr>
        <w:spacing w:after="0" w:line="240" w:lineRule="auto"/>
        <w:contextualSpacing/>
        <w:jc w:val="both"/>
        <w:rPr>
          <w:rFonts w:ascii="Arial" w:hAnsi="Arial" w:cs="Arial"/>
        </w:rPr>
      </w:pPr>
      <w:r>
        <w:rPr>
          <w:rFonts w:ascii="Arial" w:hAnsi="Arial" w:cs="Arial"/>
        </w:rPr>
        <w:t>Por otra parte,</w:t>
      </w:r>
      <w:r w:rsidR="00CE1D60">
        <w:rPr>
          <w:rFonts w:ascii="Arial" w:hAnsi="Arial" w:cs="Arial"/>
        </w:rPr>
        <w:t xml:space="preserve"> </w:t>
      </w:r>
      <w:r>
        <w:rPr>
          <w:rFonts w:ascii="Arial" w:hAnsi="Arial" w:cs="Arial"/>
        </w:rPr>
        <w:t>se determin</w:t>
      </w:r>
      <w:r w:rsidR="009577E9">
        <w:rPr>
          <w:rFonts w:ascii="Arial" w:hAnsi="Arial" w:cs="Arial"/>
        </w:rPr>
        <w:t>aron</w:t>
      </w:r>
      <w:r>
        <w:rPr>
          <w:rFonts w:ascii="Arial" w:hAnsi="Arial" w:cs="Arial"/>
        </w:rPr>
        <w:t xml:space="preserve"> </w:t>
      </w:r>
      <w:r w:rsidR="00857E9E">
        <w:rPr>
          <w:rFonts w:ascii="Arial" w:hAnsi="Arial" w:cs="Arial"/>
        </w:rPr>
        <w:t>vulnerabilidad</w:t>
      </w:r>
      <w:r w:rsidR="009577E9">
        <w:rPr>
          <w:rFonts w:ascii="Arial" w:hAnsi="Arial" w:cs="Arial"/>
        </w:rPr>
        <w:t>es</w:t>
      </w:r>
      <w:r w:rsidR="0088745B" w:rsidRPr="0088745B">
        <w:rPr>
          <w:rFonts w:ascii="Arial" w:hAnsi="Arial" w:cs="Arial"/>
        </w:rPr>
        <w:t xml:space="preserve"> en cuanto a</w:t>
      </w:r>
      <w:r w:rsidR="00CE1D60">
        <w:rPr>
          <w:rFonts w:ascii="Arial" w:hAnsi="Arial" w:cs="Arial"/>
        </w:rPr>
        <w:t xml:space="preserve"> la</w:t>
      </w:r>
      <w:r w:rsidR="0088745B" w:rsidRPr="0088745B">
        <w:rPr>
          <w:rFonts w:ascii="Arial" w:hAnsi="Arial" w:cs="Arial"/>
        </w:rPr>
        <w:t xml:space="preserve"> aprobación de</w:t>
      </w:r>
      <w:r w:rsidR="00E914F0">
        <w:rPr>
          <w:rFonts w:ascii="Arial" w:hAnsi="Arial" w:cs="Arial"/>
        </w:rPr>
        <w:t>l</w:t>
      </w:r>
      <w:r w:rsidR="0088745B" w:rsidRPr="0088745B">
        <w:rPr>
          <w:rFonts w:ascii="Arial" w:hAnsi="Arial" w:cs="Arial"/>
        </w:rPr>
        <w:t xml:space="preserve"> </w:t>
      </w:r>
      <w:r w:rsidR="00E914F0" w:rsidRPr="00E914F0">
        <w:rPr>
          <w:rFonts w:ascii="Arial" w:hAnsi="Arial" w:cs="Arial"/>
        </w:rPr>
        <w:t xml:space="preserve">documento </w:t>
      </w:r>
      <w:r w:rsidR="006365AB" w:rsidRPr="0088745B">
        <w:rPr>
          <w:rFonts w:ascii="Arial" w:hAnsi="Arial" w:cs="Arial"/>
        </w:rPr>
        <w:t>final</w:t>
      </w:r>
      <w:r w:rsidR="006365AB" w:rsidRPr="00E914F0">
        <w:rPr>
          <w:rFonts w:ascii="Arial" w:hAnsi="Arial" w:cs="Arial"/>
        </w:rPr>
        <w:t xml:space="preserve"> </w:t>
      </w:r>
      <w:r w:rsidR="00E914F0" w:rsidRPr="00E914F0">
        <w:rPr>
          <w:rFonts w:ascii="Arial" w:hAnsi="Arial" w:cs="Arial"/>
        </w:rPr>
        <w:t>denominado “Especificaciones técnicas y condiciones generales”, documentación que forma parte del apartado “Información de Cartel”</w:t>
      </w:r>
      <w:r w:rsidR="00E914F0">
        <w:rPr>
          <w:rFonts w:ascii="Arial" w:hAnsi="Arial" w:cs="Arial"/>
        </w:rPr>
        <w:t xml:space="preserve"> en el </w:t>
      </w:r>
      <w:r w:rsidR="00E914F0" w:rsidRPr="00E914F0">
        <w:rPr>
          <w:rFonts w:ascii="Arial" w:hAnsi="Arial" w:cs="Arial"/>
        </w:rPr>
        <w:t>Sistema Integrado de Compras Públicas (SICOP)</w:t>
      </w:r>
      <w:r w:rsidR="00DC4627">
        <w:rPr>
          <w:rFonts w:ascii="Arial" w:hAnsi="Arial" w:cs="Arial"/>
        </w:rPr>
        <w:t xml:space="preserve">, y respecto al monitoreo de </w:t>
      </w:r>
      <w:r w:rsidR="00DC4627" w:rsidRPr="00DC4627">
        <w:rPr>
          <w:rFonts w:ascii="Arial" w:hAnsi="Arial" w:cs="Arial"/>
        </w:rPr>
        <w:t>los proveedores que han sido contratados reiteradamente en los diferentes procesos de contratación del Ministerio de Hacienda</w:t>
      </w:r>
      <w:r w:rsidR="00DC4627">
        <w:rPr>
          <w:rFonts w:ascii="Arial" w:hAnsi="Arial" w:cs="Arial"/>
        </w:rPr>
        <w:t>.</w:t>
      </w:r>
    </w:p>
    <w:p w14:paraId="586A6F65" w14:textId="77777777" w:rsidR="00C926D0" w:rsidRDefault="00C926D0">
      <w:pPr>
        <w:spacing w:after="0" w:line="240" w:lineRule="auto"/>
        <w:contextualSpacing/>
        <w:jc w:val="both"/>
        <w:rPr>
          <w:rFonts w:ascii="Arial" w:hAnsi="Arial" w:cs="Arial"/>
          <w:b/>
          <w:color w:val="40546A"/>
          <w:sz w:val="24"/>
          <w:szCs w:val="24"/>
        </w:rPr>
      </w:pPr>
    </w:p>
    <w:p w14:paraId="06406351" w14:textId="77777777" w:rsidR="0055222A" w:rsidRPr="00A51503" w:rsidRDefault="0055222A">
      <w:pPr>
        <w:spacing w:after="0" w:line="240" w:lineRule="auto"/>
        <w:contextualSpacing/>
        <w:jc w:val="both"/>
        <w:rPr>
          <w:rFonts w:ascii="Arial" w:hAnsi="Arial" w:cs="Arial"/>
          <w:b/>
          <w:color w:val="40546A"/>
          <w:sz w:val="24"/>
          <w:szCs w:val="24"/>
        </w:rPr>
      </w:pPr>
      <w:r w:rsidRPr="00A51503">
        <w:rPr>
          <w:rFonts w:ascii="Arial" w:hAnsi="Arial" w:cs="Arial"/>
          <w:b/>
          <w:color w:val="40546A"/>
          <w:sz w:val="24"/>
          <w:szCs w:val="24"/>
        </w:rPr>
        <w:t>¿QUÉ SIGUE?</w:t>
      </w:r>
    </w:p>
    <w:p w14:paraId="6F2EC3EF" w14:textId="77777777" w:rsidR="0055222A" w:rsidRPr="0043627B" w:rsidRDefault="0055222A">
      <w:pPr>
        <w:spacing w:after="0" w:line="240" w:lineRule="auto"/>
        <w:contextualSpacing/>
        <w:jc w:val="both"/>
        <w:rPr>
          <w:rFonts w:ascii="Arial" w:hAnsi="Arial" w:cs="Arial"/>
          <w:sz w:val="24"/>
          <w:szCs w:val="24"/>
        </w:rPr>
      </w:pPr>
    </w:p>
    <w:p w14:paraId="701F99CA" w14:textId="3F6FDFDA" w:rsidR="00021121" w:rsidRDefault="0088745B">
      <w:pPr>
        <w:spacing w:after="0" w:line="240" w:lineRule="auto"/>
        <w:contextualSpacing/>
        <w:jc w:val="both"/>
        <w:rPr>
          <w:rFonts w:ascii="Arial" w:hAnsi="Arial" w:cs="Arial"/>
        </w:rPr>
      </w:pPr>
      <w:r w:rsidRPr="0088745B">
        <w:rPr>
          <w:rFonts w:ascii="Arial" w:hAnsi="Arial" w:cs="Arial"/>
        </w:rPr>
        <w:t xml:space="preserve">Con el objetivo de colaborar con la Administración en el fortalecimiento del control interno y la mejora de los controles utilizados para realizar funciones, se giran </w:t>
      </w:r>
      <w:r w:rsidR="00B17C78">
        <w:rPr>
          <w:rFonts w:ascii="Arial" w:hAnsi="Arial" w:cs="Arial"/>
        </w:rPr>
        <w:t>recomendaciones</w:t>
      </w:r>
      <w:r w:rsidRPr="0088745B">
        <w:rPr>
          <w:rFonts w:ascii="Arial" w:hAnsi="Arial" w:cs="Arial"/>
        </w:rPr>
        <w:t xml:space="preserve"> a la </w:t>
      </w:r>
      <w:r w:rsidR="00B70700">
        <w:rPr>
          <w:rFonts w:ascii="Arial" w:hAnsi="Arial" w:cs="Arial"/>
        </w:rPr>
        <w:t>Oficialía Mayor</w:t>
      </w:r>
      <w:r w:rsidR="00105E4B">
        <w:rPr>
          <w:rFonts w:ascii="Arial" w:hAnsi="Arial" w:cs="Arial"/>
        </w:rPr>
        <w:t xml:space="preserve">, </w:t>
      </w:r>
      <w:r w:rsidRPr="0088745B">
        <w:rPr>
          <w:rFonts w:ascii="Arial" w:hAnsi="Arial" w:cs="Arial"/>
        </w:rPr>
        <w:t>Dirección Administrativa y Financiera del Ministerio de Hacienda, orientadas a subsanar las debilidades identificadas mediante el establecimiento de mecanismos de control relativos al proceso de contratación administrativa</w:t>
      </w:r>
      <w:r w:rsidR="00B860E9">
        <w:rPr>
          <w:rFonts w:ascii="Arial" w:hAnsi="Arial" w:cs="Arial"/>
        </w:rPr>
        <w:t>.</w:t>
      </w:r>
    </w:p>
    <w:p w14:paraId="075BBEDE" w14:textId="77777777" w:rsidR="008F5499" w:rsidRDefault="008F5499">
      <w:pPr>
        <w:spacing w:after="0" w:line="240" w:lineRule="auto"/>
        <w:contextualSpacing/>
        <w:jc w:val="both"/>
        <w:rPr>
          <w:rFonts w:ascii="Arial" w:hAnsi="Arial" w:cs="Arial"/>
        </w:rPr>
      </w:pPr>
    </w:p>
    <w:p w14:paraId="65B5EE16" w14:textId="6245E3E3" w:rsidR="00C72533" w:rsidRPr="00C72533" w:rsidRDefault="00DA27B1" w:rsidP="00750445">
      <w:pPr>
        <w:spacing w:after="0" w:line="240" w:lineRule="auto"/>
        <w:contextualSpacing/>
        <w:jc w:val="both"/>
        <w:rPr>
          <w:rFonts w:ascii="Arial" w:hAnsi="Arial" w:cs="Arial"/>
        </w:rPr>
      </w:pPr>
      <w:r w:rsidRPr="00DA27B1">
        <w:rPr>
          <w:rFonts w:ascii="Arial" w:hAnsi="Arial" w:cs="Arial"/>
        </w:rPr>
        <w:t xml:space="preserve">Adicionalmente, se señala la necesidad de que </w:t>
      </w:r>
      <w:r w:rsidR="00105E4B">
        <w:rPr>
          <w:rFonts w:ascii="Arial" w:hAnsi="Arial" w:cs="Arial"/>
        </w:rPr>
        <w:t>se</w:t>
      </w:r>
      <w:r w:rsidRPr="00DA27B1">
        <w:rPr>
          <w:rFonts w:ascii="Arial" w:hAnsi="Arial" w:cs="Arial"/>
        </w:rPr>
        <w:t xml:space="preserve"> establezca </w:t>
      </w:r>
      <w:r w:rsidR="00C72533" w:rsidRPr="00C72533">
        <w:rPr>
          <w:rFonts w:ascii="Arial" w:hAnsi="Arial" w:cs="Arial"/>
        </w:rPr>
        <w:t xml:space="preserve">una metodología que permita </w:t>
      </w:r>
      <w:r w:rsidR="007525CD">
        <w:rPr>
          <w:rFonts w:ascii="Arial" w:hAnsi="Arial" w:cs="Arial"/>
        </w:rPr>
        <w:t xml:space="preserve">monitorear y dar seguimiento a eventuales </w:t>
      </w:r>
      <w:r w:rsidR="00C72533" w:rsidRPr="00C72533">
        <w:rPr>
          <w:rFonts w:ascii="Arial" w:hAnsi="Arial" w:cs="Arial"/>
        </w:rPr>
        <w:t>concentraci</w:t>
      </w:r>
      <w:r w:rsidR="00261C05">
        <w:rPr>
          <w:rFonts w:ascii="Arial" w:hAnsi="Arial" w:cs="Arial"/>
        </w:rPr>
        <w:t>ones</w:t>
      </w:r>
      <w:r w:rsidR="00C72533" w:rsidRPr="00C72533">
        <w:rPr>
          <w:rFonts w:ascii="Arial" w:hAnsi="Arial" w:cs="Arial"/>
        </w:rPr>
        <w:t xml:space="preserve"> de proveedores en los procesos de contratación administrativa. </w:t>
      </w:r>
    </w:p>
    <w:p w14:paraId="0F7BBEFA" w14:textId="77777777" w:rsidR="00DA27B1" w:rsidRDefault="00C72533">
      <w:pPr>
        <w:rPr>
          <w:rFonts w:ascii="Arial" w:hAnsi="Arial" w:cs="Arial"/>
        </w:rPr>
      </w:pPr>
      <w:r w:rsidRPr="00C72533">
        <w:rPr>
          <w:rFonts w:ascii="Arial" w:hAnsi="Arial" w:cs="Arial"/>
        </w:rPr>
        <w:t xml:space="preserve"> </w:t>
      </w:r>
      <w:r w:rsidR="00DA27B1">
        <w:rPr>
          <w:rFonts w:ascii="Arial" w:hAnsi="Arial" w:cs="Arial"/>
        </w:rPr>
        <w:br w:type="page"/>
      </w:r>
    </w:p>
    <w:p w14:paraId="195A2F66" w14:textId="77777777" w:rsidR="0024124B" w:rsidRPr="00BA1863" w:rsidRDefault="0055222A" w:rsidP="00BA1863">
      <w:pPr>
        <w:pStyle w:val="Ttulo1"/>
        <w:keepNext w:val="0"/>
        <w:keepLines w:val="0"/>
        <w:numPr>
          <w:ilvl w:val="0"/>
          <w:numId w:val="19"/>
        </w:numPr>
        <w:spacing w:before="0" w:after="0" w:line="0" w:lineRule="atLeast"/>
        <w:ind w:left="576" w:right="51" w:hanging="576"/>
        <w:contextualSpacing/>
        <w:jc w:val="both"/>
        <w:rPr>
          <w:rFonts w:ascii="Arial" w:hAnsi="Arial" w:cs="Arial"/>
          <w:b/>
          <w:bCs/>
          <w:color w:val="44546A" w:themeColor="text2"/>
          <w:kern w:val="28"/>
          <w:sz w:val="28"/>
          <w:szCs w:val="28"/>
          <w:lang w:eastAsia="es-ES"/>
        </w:rPr>
      </w:pPr>
      <w:bookmarkStart w:id="7" w:name="_Toc390783322"/>
      <w:bookmarkStart w:id="8" w:name="_Toc108431888"/>
      <w:r w:rsidRPr="00BA1863">
        <w:rPr>
          <w:rFonts w:ascii="Arial" w:hAnsi="Arial" w:cs="Arial"/>
          <w:b/>
          <w:bCs/>
          <w:color w:val="44546A" w:themeColor="text2"/>
          <w:kern w:val="28"/>
          <w:sz w:val="28"/>
          <w:szCs w:val="28"/>
          <w:lang w:eastAsia="es-ES"/>
        </w:rPr>
        <w:lastRenderedPageBreak/>
        <w:t>INTRODUCCIÓN</w:t>
      </w:r>
      <w:bookmarkStart w:id="9" w:name="_Toc118276500"/>
      <w:bookmarkStart w:id="10" w:name="_Toc140566595"/>
      <w:bookmarkStart w:id="11" w:name="_Toc141671991"/>
      <w:bookmarkStart w:id="12" w:name="_Toc156811332"/>
      <w:bookmarkStart w:id="13" w:name="_Toc197941708"/>
      <w:bookmarkStart w:id="14" w:name="_Toc263196289"/>
      <w:bookmarkStart w:id="15" w:name="_Toc289069746"/>
      <w:bookmarkStart w:id="16" w:name="_Toc362603796"/>
      <w:bookmarkStart w:id="17" w:name="_Toc363725342"/>
      <w:bookmarkStart w:id="18" w:name="_Toc390783323"/>
      <w:bookmarkStart w:id="19" w:name="_Toc106783017"/>
      <w:bookmarkStart w:id="20" w:name="_Toc106783168"/>
      <w:bookmarkStart w:id="21" w:name="_Toc107808089"/>
      <w:bookmarkStart w:id="22" w:name="_Toc263196290"/>
      <w:bookmarkStart w:id="23" w:name="_Toc118276501"/>
      <w:bookmarkStart w:id="24" w:name="_Toc140566596"/>
      <w:bookmarkStart w:id="25" w:name="_Toc141671992"/>
      <w:bookmarkStart w:id="26" w:name="_Toc156811333"/>
      <w:bookmarkStart w:id="27" w:name="_Toc197941709"/>
      <w:bookmarkStart w:id="28" w:name="_Toc289069747"/>
      <w:bookmarkStart w:id="29" w:name="_Toc362603797"/>
      <w:bookmarkStart w:id="30" w:name="_Toc363725343"/>
      <w:bookmarkStart w:id="31" w:name="_Toc106697946"/>
      <w:bookmarkStart w:id="32" w:name="_Toc106698027"/>
      <w:bookmarkStart w:id="33" w:name="_Toc106783018"/>
      <w:bookmarkStart w:id="34" w:name="_Toc106783169"/>
      <w:bookmarkStart w:id="35" w:name="_Toc107808090"/>
      <w:bookmarkStart w:id="36" w:name="_Toc118276503"/>
      <w:bookmarkStart w:id="37" w:name="_Toc140566597"/>
      <w:bookmarkStart w:id="38" w:name="_Toc141671993"/>
      <w:bookmarkStart w:id="39" w:name="_Toc156811334"/>
      <w:bookmarkStart w:id="40" w:name="_Toc197941710"/>
      <w:bookmarkStart w:id="41" w:name="_Toc263196291"/>
      <w:bookmarkStart w:id="42" w:name="_Toc289069748"/>
      <w:bookmarkStart w:id="43" w:name="_Toc362603798"/>
      <w:bookmarkStart w:id="44" w:name="_Toc363725344"/>
      <w:bookmarkStart w:id="45" w:name="_Toc289069749"/>
      <w:bookmarkStart w:id="46" w:name="_Toc362603799"/>
      <w:bookmarkStart w:id="47" w:name="_Toc363725345"/>
      <w:bookmarkStart w:id="48" w:name="_Toc362603800"/>
      <w:bookmarkStart w:id="49" w:name="_Toc363725346"/>
      <w:bookmarkStart w:id="50" w:name="_Toc289069750"/>
      <w:bookmarkStart w:id="51" w:name="_Toc362603801"/>
      <w:bookmarkStart w:id="52" w:name="_Toc363725347"/>
      <w:bookmarkStart w:id="53" w:name="_Toc362603802"/>
      <w:bookmarkStart w:id="54" w:name="_Toc363725348"/>
      <w:bookmarkEnd w:id="7"/>
      <w:bookmarkEnd w:id="8"/>
    </w:p>
    <w:p w14:paraId="33D926D6" w14:textId="6B532620" w:rsidR="0024124B" w:rsidRDefault="0024124B">
      <w:pPr>
        <w:spacing w:after="0" w:line="240" w:lineRule="auto"/>
        <w:contextualSpacing/>
        <w:rPr>
          <w:lang w:eastAsia="es-ES"/>
        </w:rPr>
      </w:pPr>
    </w:p>
    <w:p w14:paraId="6FEA79C1" w14:textId="77777777" w:rsidR="0096751E" w:rsidRPr="0024124B" w:rsidRDefault="0096751E">
      <w:pPr>
        <w:spacing w:after="0" w:line="240" w:lineRule="auto"/>
        <w:contextualSpacing/>
        <w:rPr>
          <w:lang w:eastAsia="es-ES"/>
        </w:rPr>
      </w:pPr>
    </w:p>
    <w:p w14:paraId="2CB39DDC"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55" w:name="_Toc108431889"/>
      <w:r w:rsidRPr="00A136E4">
        <w:rPr>
          <w:rFonts w:ascii="Arial" w:hAnsi="Arial" w:cs="Arial"/>
          <w:b/>
          <w:color w:val="17365D"/>
          <w:sz w:val="24"/>
          <w:szCs w:val="24"/>
        </w:rPr>
        <w:t>Origen</w:t>
      </w:r>
      <w:bookmarkEnd w:id="9"/>
      <w:bookmarkEnd w:id="10"/>
      <w:bookmarkEnd w:id="11"/>
      <w:bookmarkEnd w:id="12"/>
      <w:bookmarkEnd w:id="13"/>
      <w:bookmarkEnd w:id="14"/>
      <w:bookmarkEnd w:id="15"/>
      <w:bookmarkEnd w:id="16"/>
      <w:bookmarkEnd w:id="17"/>
      <w:bookmarkEnd w:id="18"/>
      <w:bookmarkEnd w:id="55"/>
    </w:p>
    <w:p w14:paraId="01BBCAA8" w14:textId="77777777" w:rsidR="00E30B95" w:rsidRDefault="00E30B95">
      <w:pPr>
        <w:spacing w:after="0" w:line="240" w:lineRule="auto"/>
        <w:contextualSpacing/>
        <w:jc w:val="both"/>
        <w:rPr>
          <w:rFonts w:ascii="Arial" w:hAnsi="Arial" w:cs="Arial"/>
          <w:sz w:val="24"/>
          <w:szCs w:val="24"/>
        </w:rPr>
      </w:pPr>
    </w:p>
    <w:p w14:paraId="1C5A3852" w14:textId="223E4C50" w:rsidR="0055222A" w:rsidRPr="0057432A" w:rsidRDefault="0055222A">
      <w:pPr>
        <w:spacing w:after="0" w:line="240" w:lineRule="auto"/>
        <w:contextualSpacing/>
        <w:jc w:val="both"/>
        <w:rPr>
          <w:rFonts w:ascii="Arial" w:hAnsi="Arial" w:cs="Arial"/>
        </w:rPr>
      </w:pPr>
      <w:r w:rsidRPr="0057432A">
        <w:rPr>
          <w:rFonts w:ascii="Arial" w:hAnsi="Arial" w:cs="Arial"/>
        </w:rPr>
        <w:t>El presente estudio se realizó de conformidad con el</w:t>
      </w:r>
      <w:r w:rsidR="005210DF">
        <w:rPr>
          <w:rFonts w:ascii="Arial" w:hAnsi="Arial" w:cs="Arial"/>
        </w:rPr>
        <w:t xml:space="preserve"> </w:t>
      </w:r>
      <w:r w:rsidRPr="0057432A">
        <w:rPr>
          <w:rFonts w:ascii="Arial" w:hAnsi="Arial" w:cs="Arial"/>
        </w:rPr>
        <w:t xml:space="preserve">Plan de Trabajo Anual </w:t>
      </w:r>
      <w:r w:rsidR="00571CC4" w:rsidRPr="0057432A">
        <w:rPr>
          <w:rFonts w:ascii="Arial" w:hAnsi="Arial" w:cs="Arial"/>
        </w:rPr>
        <w:t>20</w:t>
      </w:r>
      <w:r w:rsidR="006B0924">
        <w:rPr>
          <w:rFonts w:ascii="Arial" w:hAnsi="Arial" w:cs="Arial"/>
        </w:rPr>
        <w:t>22</w:t>
      </w:r>
      <w:r w:rsidR="009316A2">
        <w:rPr>
          <w:rFonts w:ascii="Arial" w:hAnsi="Arial" w:cs="Arial"/>
        </w:rPr>
        <w:t xml:space="preserve">, </w:t>
      </w:r>
      <w:r w:rsidRPr="0057432A">
        <w:rPr>
          <w:rFonts w:ascii="Arial" w:hAnsi="Arial" w:cs="Arial"/>
        </w:rPr>
        <w:t>de la Auditoría Interna del Ministerio de Hacienda.</w:t>
      </w:r>
    </w:p>
    <w:p w14:paraId="4C2F587D" w14:textId="725F0FB7" w:rsidR="0055222A" w:rsidRDefault="0055222A">
      <w:pPr>
        <w:spacing w:after="0" w:line="240" w:lineRule="auto"/>
        <w:contextualSpacing/>
        <w:rPr>
          <w:rFonts w:ascii="Arial" w:hAnsi="Arial" w:cs="Arial"/>
          <w:sz w:val="24"/>
          <w:szCs w:val="24"/>
        </w:rPr>
      </w:pPr>
    </w:p>
    <w:p w14:paraId="43EAD917" w14:textId="77777777" w:rsidR="0096751E" w:rsidRPr="0043627B" w:rsidRDefault="0096751E">
      <w:pPr>
        <w:spacing w:after="0" w:line="240" w:lineRule="auto"/>
        <w:contextualSpacing/>
        <w:rPr>
          <w:rFonts w:ascii="Arial" w:hAnsi="Arial" w:cs="Arial"/>
          <w:sz w:val="24"/>
          <w:szCs w:val="24"/>
        </w:rPr>
      </w:pPr>
    </w:p>
    <w:p w14:paraId="4F6294D1"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56" w:name="_Toc390783324"/>
      <w:bookmarkStart w:id="57" w:name="_Toc108431890"/>
      <w:r w:rsidRPr="00A136E4">
        <w:rPr>
          <w:rFonts w:ascii="Arial" w:hAnsi="Arial" w:cs="Arial"/>
          <w:b/>
          <w:color w:val="17365D"/>
          <w:sz w:val="24"/>
          <w:szCs w:val="24"/>
        </w:rPr>
        <w:t>Objetiv</w:t>
      </w:r>
      <w:bookmarkEnd w:id="19"/>
      <w:bookmarkEnd w:id="20"/>
      <w:bookmarkEnd w:id="21"/>
      <w:bookmarkEnd w:id="22"/>
      <w:bookmarkEnd w:id="23"/>
      <w:bookmarkEnd w:id="24"/>
      <w:bookmarkEnd w:id="25"/>
      <w:bookmarkEnd w:id="26"/>
      <w:bookmarkEnd w:id="27"/>
      <w:r w:rsidRPr="00A136E4">
        <w:rPr>
          <w:rFonts w:ascii="Arial" w:hAnsi="Arial" w:cs="Arial"/>
          <w:b/>
          <w:color w:val="17365D"/>
          <w:sz w:val="24"/>
          <w:szCs w:val="24"/>
        </w:rPr>
        <w:t>o del estudio</w:t>
      </w:r>
      <w:bookmarkEnd w:id="28"/>
      <w:bookmarkEnd w:id="29"/>
      <w:bookmarkEnd w:id="30"/>
      <w:bookmarkEnd w:id="56"/>
      <w:bookmarkEnd w:id="57"/>
    </w:p>
    <w:p w14:paraId="13F3F4DD" w14:textId="77777777" w:rsidR="0055222A" w:rsidRPr="00100217" w:rsidRDefault="0055222A">
      <w:pPr>
        <w:spacing w:after="0" w:line="240" w:lineRule="auto"/>
        <w:contextualSpacing/>
        <w:jc w:val="both"/>
        <w:rPr>
          <w:rFonts w:ascii="Arial" w:hAnsi="Arial" w:cs="Arial"/>
          <w:sz w:val="24"/>
        </w:rPr>
      </w:pPr>
      <w:bookmarkStart w:id="58" w:name="_Toc390783325"/>
    </w:p>
    <w:p w14:paraId="11057B16" w14:textId="77777777" w:rsidR="00571CC4" w:rsidRDefault="0088745B">
      <w:pPr>
        <w:spacing w:after="0" w:line="240" w:lineRule="auto"/>
        <w:contextualSpacing/>
        <w:jc w:val="both"/>
        <w:rPr>
          <w:rFonts w:ascii="Arial" w:hAnsi="Arial" w:cs="Arial"/>
        </w:rPr>
      </w:pPr>
      <w:bookmarkStart w:id="59" w:name="_Hlk106184105"/>
      <w:r w:rsidRPr="0088745B">
        <w:rPr>
          <w:rFonts w:ascii="Arial" w:hAnsi="Arial" w:cs="Arial"/>
        </w:rPr>
        <w:t xml:space="preserve">Verificar si el proceso de Contratación Administrativa que realiza la Proveeduría Institucional cumple </w:t>
      </w:r>
      <w:bookmarkStart w:id="60" w:name="_Hlk104462013"/>
      <w:r w:rsidRPr="0088745B">
        <w:rPr>
          <w:rFonts w:ascii="Arial" w:hAnsi="Arial" w:cs="Arial"/>
        </w:rPr>
        <w:t>con el bloque de legalidad vigente</w:t>
      </w:r>
      <w:bookmarkEnd w:id="60"/>
      <w:r w:rsidRPr="0088745B">
        <w:rPr>
          <w:rFonts w:ascii="Arial" w:hAnsi="Arial" w:cs="Arial"/>
        </w:rPr>
        <w:t>.</w:t>
      </w:r>
    </w:p>
    <w:bookmarkEnd w:id="59"/>
    <w:p w14:paraId="1A4FA255" w14:textId="05CC2A12" w:rsidR="005210DF" w:rsidRDefault="005210DF">
      <w:pPr>
        <w:spacing w:after="0" w:line="240" w:lineRule="auto"/>
        <w:contextualSpacing/>
        <w:jc w:val="both"/>
        <w:rPr>
          <w:rFonts w:ascii="Arial" w:hAnsi="Arial" w:cs="Arial"/>
          <w:color w:val="40546A"/>
          <w:sz w:val="24"/>
        </w:rPr>
      </w:pPr>
    </w:p>
    <w:p w14:paraId="04769D61" w14:textId="77777777" w:rsidR="0096751E" w:rsidRPr="00A51503" w:rsidRDefault="0096751E">
      <w:pPr>
        <w:spacing w:after="0" w:line="240" w:lineRule="auto"/>
        <w:contextualSpacing/>
        <w:jc w:val="both"/>
        <w:rPr>
          <w:rFonts w:ascii="Arial" w:hAnsi="Arial" w:cs="Arial"/>
          <w:color w:val="40546A"/>
          <w:sz w:val="24"/>
        </w:rPr>
      </w:pPr>
    </w:p>
    <w:p w14:paraId="7C135837" w14:textId="77777777" w:rsidR="005210DF"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1" w:name="_Toc108431891"/>
      <w:r w:rsidRPr="00A136E4">
        <w:rPr>
          <w:rFonts w:ascii="Arial" w:hAnsi="Arial" w:cs="Arial"/>
          <w:b/>
          <w:color w:val="17365D"/>
          <w:sz w:val="24"/>
          <w:szCs w:val="24"/>
        </w:rPr>
        <w:t>Alcance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58"/>
      <w:bookmarkEnd w:id="61"/>
    </w:p>
    <w:p w14:paraId="0D2C1ECF" w14:textId="77777777" w:rsidR="005210DF" w:rsidRPr="005210DF" w:rsidRDefault="005210DF" w:rsidP="0065757A">
      <w:pPr>
        <w:spacing w:after="0" w:line="240" w:lineRule="auto"/>
        <w:contextualSpacing/>
      </w:pPr>
    </w:p>
    <w:p w14:paraId="70A6A32B" w14:textId="77777777" w:rsidR="00181A49" w:rsidRPr="00441E26" w:rsidRDefault="00181A49" w:rsidP="00181A49">
      <w:pPr>
        <w:spacing w:after="0" w:line="240" w:lineRule="auto"/>
        <w:contextualSpacing/>
        <w:jc w:val="both"/>
        <w:rPr>
          <w:rFonts w:ascii="Arial" w:hAnsi="Arial" w:cs="Arial"/>
        </w:rPr>
      </w:pPr>
      <w:bookmarkStart w:id="62" w:name="_Toc390783326"/>
      <w:r w:rsidRPr="00441E26">
        <w:rPr>
          <w:rFonts w:ascii="Arial" w:hAnsi="Arial" w:cs="Arial"/>
        </w:rPr>
        <w:t xml:space="preserve">Comprende la revisión de los controles establecidos para el proceso de contratación administrativa realizado por la Proveeduría Institucional, en torno a la selección de proveedores, cumplimiento de las cláusulas contractuales y la definición de requerimientos y los estudios de mercado en las contrataciones realizadas. </w:t>
      </w:r>
    </w:p>
    <w:p w14:paraId="43CE9CC3" w14:textId="77777777" w:rsidR="00181A49" w:rsidRPr="00441E26" w:rsidRDefault="00181A49" w:rsidP="00181A49">
      <w:pPr>
        <w:spacing w:after="0" w:line="240" w:lineRule="auto"/>
        <w:contextualSpacing/>
        <w:jc w:val="both"/>
        <w:rPr>
          <w:rFonts w:ascii="Arial" w:hAnsi="Arial" w:cs="Arial"/>
        </w:rPr>
      </w:pPr>
    </w:p>
    <w:p w14:paraId="6860AD4B" w14:textId="77777777" w:rsidR="00181A49" w:rsidRPr="0057432A" w:rsidRDefault="00181A49" w:rsidP="00181A49">
      <w:pPr>
        <w:spacing w:after="0" w:line="240" w:lineRule="auto"/>
        <w:contextualSpacing/>
        <w:jc w:val="both"/>
        <w:rPr>
          <w:rFonts w:ascii="Arial" w:hAnsi="Arial" w:cs="Arial"/>
        </w:rPr>
      </w:pPr>
      <w:r w:rsidRPr="00441E26">
        <w:rPr>
          <w:rFonts w:ascii="Arial" w:hAnsi="Arial" w:cs="Arial"/>
        </w:rPr>
        <w:t>El periodo de evaluación corresponde de enero 2020 a diciembre 2021, extendiéndose cuando se considere necesario.</w:t>
      </w:r>
    </w:p>
    <w:p w14:paraId="5FE508E2" w14:textId="76B926E2" w:rsidR="0088745B" w:rsidRDefault="0088745B">
      <w:pPr>
        <w:spacing w:after="0" w:line="240" w:lineRule="auto"/>
        <w:contextualSpacing/>
        <w:jc w:val="both"/>
        <w:rPr>
          <w:rFonts w:ascii="Arial" w:hAnsi="Arial" w:cs="Arial"/>
        </w:rPr>
      </w:pPr>
    </w:p>
    <w:p w14:paraId="38159F91" w14:textId="77777777" w:rsidR="0096751E" w:rsidRPr="00D8478C" w:rsidRDefault="0096751E">
      <w:pPr>
        <w:spacing w:after="0" w:line="240" w:lineRule="auto"/>
        <w:contextualSpacing/>
        <w:jc w:val="both"/>
        <w:rPr>
          <w:rFonts w:ascii="Arial" w:hAnsi="Arial" w:cs="Arial"/>
        </w:rPr>
      </w:pPr>
    </w:p>
    <w:p w14:paraId="7092C2DB"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3" w:name="_Toc108431892"/>
      <w:r w:rsidRPr="00A136E4">
        <w:rPr>
          <w:rFonts w:ascii="Arial" w:hAnsi="Arial" w:cs="Arial"/>
          <w:b/>
          <w:color w:val="17365D"/>
          <w:sz w:val="24"/>
          <w:szCs w:val="24"/>
        </w:rPr>
        <w:t>Criterios de evaluación</w:t>
      </w:r>
      <w:bookmarkEnd w:id="63"/>
    </w:p>
    <w:p w14:paraId="494A35F5" w14:textId="77777777" w:rsidR="00100217" w:rsidRDefault="00100217">
      <w:pPr>
        <w:autoSpaceDE w:val="0"/>
        <w:autoSpaceDN w:val="0"/>
        <w:adjustRightInd w:val="0"/>
        <w:spacing w:after="0" w:line="240" w:lineRule="auto"/>
        <w:contextualSpacing/>
        <w:jc w:val="both"/>
        <w:rPr>
          <w:rFonts w:ascii="Arial" w:eastAsia="Times New Roman" w:hAnsi="Arial" w:cs="Arial"/>
          <w:color w:val="000000"/>
          <w:sz w:val="24"/>
          <w:szCs w:val="24"/>
        </w:rPr>
      </w:pPr>
    </w:p>
    <w:p w14:paraId="3F04CF25" w14:textId="77777777" w:rsidR="00181A49" w:rsidRPr="0057432A" w:rsidRDefault="00181A49" w:rsidP="00181A49">
      <w:pPr>
        <w:autoSpaceDE w:val="0"/>
        <w:autoSpaceDN w:val="0"/>
        <w:adjustRightInd w:val="0"/>
        <w:spacing w:after="0" w:line="240" w:lineRule="auto"/>
        <w:contextualSpacing/>
        <w:jc w:val="both"/>
        <w:rPr>
          <w:rFonts w:ascii="Arial" w:hAnsi="Arial" w:cs="Arial"/>
        </w:rPr>
      </w:pPr>
      <w:r w:rsidRPr="0057432A">
        <w:rPr>
          <w:rFonts w:ascii="Arial" w:eastAsia="Times New Roman" w:hAnsi="Arial" w:cs="Arial"/>
          <w:color w:val="000000"/>
        </w:rPr>
        <w:t xml:space="preserve">Los criterios de evaluación </w:t>
      </w:r>
      <w:r w:rsidRPr="0057432A">
        <w:rPr>
          <w:rFonts w:ascii="Arial" w:hAnsi="Arial" w:cs="Arial"/>
        </w:rPr>
        <w:t xml:space="preserve">fueron comunicados el </w:t>
      </w:r>
      <w:r>
        <w:rPr>
          <w:rFonts w:ascii="Arial" w:hAnsi="Arial" w:cs="Arial"/>
        </w:rPr>
        <w:t>25</w:t>
      </w:r>
      <w:r w:rsidRPr="0057432A">
        <w:rPr>
          <w:rFonts w:ascii="Arial" w:hAnsi="Arial" w:cs="Arial"/>
        </w:rPr>
        <w:t xml:space="preserve"> de </w:t>
      </w:r>
      <w:r>
        <w:rPr>
          <w:rFonts w:ascii="Arial" w:hAnsi="Arial" w:cs="Arial"/>
        </w:rPr>
        <w:t>enero</w:t>
      </w:r>
      <w:r w:rsidRPr="0057432A">
        <w:rPr>
          <w:rFonts w:ascii="Arial" w:hAnsi="Arial" w:cs="Arial"/>
        </w:rPr>
        <w:t xml:space="preserve"> del 202</w:t>
      </w:r>
      <w:r>
        <w:rPr>
          <w:rFonts w:ascii="Arial" w:hAnsi="Arial" w:cs="Arial"/>
        </w:rPr>
        <w:t>2</w:t>
      </w:r>
      <w:r w:rsidRPr="0057432A">
        <w:rPr>
          <w:rFonts w:ascii="Arial" w:hAnsi="Arial" w:cs="Arial"/>
        </w:rPr>
        <w:t xml:space="preserve">, </w:t>
      </w:r>
      <w:bookmarkStart w:id="64" w:name="_Hlk87342437"/>
      <w:r w:rsidR="002003C0" w:rsidRPr="0057432A">
        <w:rPr>
          <w:rFonts w:ascii="Arial" w:hAnsi="Arial" w:cs="Arial"/>
        </w:rPr>
        <w:t xml:space="preserve">a </w:t>
      </w:r>
      <w:r w:rsidR="002003C0">
        <w:rPr>
          <w:rFonts w:ascii="Arial" w:hAnsi="Arial" w:cs="Arial"/>
        </w:rPr>
        <w:t>la</w:t>
      </w:r>
      <w:r w:rsidR="00D7433F">
        <w:rPr>
          <w:rFonts w:ascii="Arial" w:hAnsi="Arial" w:cs="Arial"/>
        </w:rPr>
        <w:t xml:space="preserve"> </w:t>
      </w:r>
      <w:r w:rsidRPr="0057432A">
        <w:rPr>
          <w:rFonts w:ascii="Arial" w:hAnsi="Arial" w:cs="Arial"/>
        </w:rPr>
        <w:t>Licda. Hellen Morales Serrano</w:t>
      </w:r>
      <w:bookmarkEnd w:id="64"/>
      <w:r w:rsidRPr="0057432A">
        <w:rPr>
          <w:rFonts w:ascii="Arial" w:hAnsi="Arial" w:cs="Arial"/>
        </w:rPr>
        <w:t xml:space="preserve">, </w:t>
      </w:r>
      <w:r w:rsidR="00A832BE">
        <w:rPr>
          <w:rFonts w:ascii="Arial" w:hAnsi="Arial" w:cs="Arial"/>
        </w:rPr>
        <w:t xml:space="preserve">entonces </w:t>
      </w:r>
      <w:r>
        <w:rPr>
          <w:rFonts w:ascii="Arial" w:hAnsi="Arial" w:cs="Arial"/>
        </w:rPr>
        <w:t>D</w:t>
      </w:r>
      <w:r w:rsidRPr="0057432A">
        <w:rPr>
          <w:rFonts w:ascii="Arial" w:hAnsi="Arial" w:cs="Arial"/>
        </w:rPr>
        <w:t>irectora</w:t>
      </w:r>
      <w:r>
        <w:rPr>
          <w:rFonts w:ascii="Arial" w:hAnsi="Arial" w:cs="Arial"/>
        </w:rPr>
        <w:t xml:space="preserve"> Administrativa y Financiera</w:t>
      </w:r>
      <w:r w:rsidRPr="0057432A">
        <w:rPr>
          <w:rFonts w:ascii="Arial" w:hAnsi="Arial" w:cs="Arial"/>
        </w:rPr>
        <w:t xml:space="preserve">, Licda. Patricia Navarro Vargas, </w:t>
      </w:r>
      <w:r>
        <w:rPr>
          <w:rFonts w:ascii="Arial" w:hAnsi="Arial" w:cs="Arial"/>
        </w:rPr>
        <w:t>S</w:t>
      </w:r>
      <w:r w:rsidRPr="0057432A">
        <w:rPr>
          <w:rFonts w:ascii="Arial" w:hAnsi="Arial" w:cs="Arial"/>
        </w:rPr>
        <w:t>ubdirectora</w:t>
      </w:r>
      <w:r>
        <w:rPr>
          <w:rFonts w:ascii="Arial" w:hAnsi="Arial" w:cs="Arial"/>
        </w:rPr>
        <w:t xml:space="preserve"> Administrativa y Financiera y a la Licda. </w:t>
      </w:r>
      <w:r w:rsidRPr="003B5F2A">
        <w:rPr>
          <w:rFonts w:ascii="Arial" w:hAnsi="Arial" w:cs="Arial"/>
        </w:rPr>
        <w:t>Yesenia Ledezma Rodríguez</w:t>
      </w:r>
      <w:r w:rsidRPr="0057432A">
        <w:rPr>
          <w:rFonts w:ascii="Arial" w:hAnsi="Arial" w:cs="Arial"/>
        </w:rPr>
        <w:t xml:space="preserve">, </w:t>
      </w:r>
      <w:r w:rsidR="00B702A4">
        <w:rPr>
          <w:rFonts w:ascii="Arial" w:hAnsi="Arial" w:cs="Arial"/>
        </w:rPr>
        <w:t>Proveedora</w:t>
      </w:r>
      <w:r>
        <w:rPr>
          <w:rFonts w:ascii="Arial" w:hAnsi="Arial" w:cs="Arial"/>
        </w:rPr>
        <w:t xml:space="preserve"> Institucional</w:t>
      </w:r>
      <w:r w:rsidRPr="0057432A">
        <w:rPr>
          <w:rFonts w:ascii="Arial" w:hAnsi="Arial" w:cs="Arial"/>
        </w:rPr>
        <w:t>.</w:t>
      </w:r>
    </w:p>
    <w:p w14:paraId="368BA1CC" w14:textId="77777777" w:rsidR="00181A49" w:rsidRDefault="00181A49" w:rsidP="00181A49">
      <w:pPr>
        <w:autoSpaceDE w:val="0"/>
        <w:autoSpaceDN w:val="0"/>
        <w:adjustRightInd w:val="0"/>
        <w:spacing w:after="0" w:line="240" w:lineRule="auto"/>
        <w:contextualSpacing/>
        <w:jc w:val="both"/>
        <w:rPr>
          <w:rFonts w:ascii="Arial" w:hAnsi="Arial" w:cs="Arial"/>
        </w:rPr>
      </w:pPr>
    </w:p>
    <w:p w14:paraId="25CAE368" w14:textId="77777777" w:rsidR="00181A49" w:rsidRDefault="00181A49" w:rsidP="00181A49">
      <w:pPr>
        <w:autoSpaceDE w:val="0"/>
        <w:autoSpaceDN w:val="0"/>
        <w:adjustRightInd w:val="0"/>
        <w:spacing w:after="0" w:line="240" w:lineRule="auto"/>
        <w:contextualSpacing/>
        <w:jc w:val="both"/>
        <w:rPr>
          <w:rFonts w:ascii="Arial" w:hAnsi="Arial" w:cs="Arial"/>
        </w:rPr>
      </w:pPr>
      <w:r w:rsidRPr="0057432A">
        <w:rPr>
          <w:rFonts w:ascii="Arial" w:hAnsi="Arial" w:cs="Arial"/>
        </w:rPr>
        <w:t xml:space="preserve">Entre los criterios </w:t>
      </w:r>
      <w:r>
        <w:rPr>
          <w:rFonts w:ascii="Arial" w:hAnsi="Arial" w:cs="Arial"/>
        </w:rPr>
        <w:t>señalados</w:t>
      </w:r>
      <w:r w:rsidRPr="0057432A">
        <w:rPr>
          <w:rFonts w:ascii="Arial" w:hAnsi="Arial" w:cs="Arial"/>
        </w:rPr>
        <w:t xml:space="preserve"> se encuentran los siguientes: </w:t>
      </w:r>
      <w:r w:rsidRPr="003B5F2A">
        <w:rPr>
          <w:rFonts w:ascii="Arial" w:hAnsi="Arial" w:cs="Arial"/>
        </w:rPr>
        <w:t>Ley General de Control Interno N°8292</w:t>
      </w:r>
      <w:r>
        <w:rPr>
          <w:rFonts w:ascii="Arial" w:hAnsi="Arial" w:cs="Arial"/>
        </w:rPr>
        <w:t xml:space="preserve">, </w:t>
      </w:r>
      <w:r w:rsidRPr="003B5F2A">
        <w:rPr>
          <w:rFonts w:ascii="Arial" w:hAnsi="Arial" w:cs="Arial"/>
        </w:rPr>
        <w:t>Ley de Contratación Administrativa N°7494</w:t>
      </w:r>
      <w:r>
        <w:rPr>
          <w:rFonts w:ascii="Arial" w:hAnsi="Arial" w:cs="Arial"/>
        </w:rPr>
        <w:t xml:space="preserve">, </w:t>
      </w:r>
      <w:r w:rsidRPr="003B5F2A">
        <w:rPr>
          <w:rFonts w:ascii="Arial" w:hAnsi="Arial" w:cs="Arial"/>
        </w:rPr>
        <w:t xml:space="preserve">Normas de </w:t>
      </w:r>
      <w:r w:rsidR="005F4B1F">
        <w:rPr>
          <w:rFonts w:ascii="Arial" w:hAnsi="Arial" w:cs="Arial"/>
        </w:rPr>
        <w:t>c</w:t>
      </w:r>
      <w:r w:rsidRPr="003B5F2A">
        <w:rPr>
          <w:rFonts w:ascii="Arial" w:hAnsi="Arial" w:cs="Arial"/>
        </w:rPr>
        <w:t xml:space="preserve">ontrol </w:t>
      </w:r>
      <w:r w:rsidR="005F4B1F">
        <w:rPr>
          <w:rFonts w:ascii="Arial" w:hAnsi="Arial" w:cs="Arial"/>
        </w:rPr>
        <w:t>i</w:t>
      </w:r>
      <w:r w:rsidRPr="003B5F2A">
        <w:rPr>
          <w:rFonts w:ascii="Arial" w:hAnsi="Arial" w:cs="Arial"/>
        </w:rPr>
        <w:t>nterno para el Sector Público (N-2-2009-CO-DFOE)</w:t>
      </w:r>
      <w:r>
        <w:rPr>
          <w:rFonts w:ascii="Arial" w:hAnsi="Arial" w:cs="Arial"/>
        </w:rPr>
        <w:t xml:space="preserve">, </w:t>
      </w:r>
      <w:r w:rsidRPr="003B5F2A">
        <w:rPr>
          <w:rFonts w:ascii="Arial" w:hAnsi="Arial" w:cs="Arial"/>
        </w:rPr>
        <w:t>Reglamento a la Ley de Contratación Administrativa Decreto N°33411</w:t>
      </w:r>
      <w:r>
        <w:rPr>
          <w:rFonts w:ascii="Arial" w:hAnsi="Arial" w:cs="Arial"/>
        </w:rPr>
        <w:t xml:space="preserve">, </w:t>
      </w:r>
      <w:r w:rsidRPr="003B5F2A">
        <w:rPr>
          <w:rFonts w:ascii="Arial" w:hAnsi="Arial" w:cs="Arial"/>
        </w:rPr>
        <w:t xml:space="preserve">Reglamento para la utilización del </w:t>
      </w:r>
      <w:bookmarkStart w:id="65" w:name="_Hlk104450624"/>
      <w:r w:rsidRPr="003B5F2A">
        <w:rPr>
          <w:rFonts w:ascii="Arial" w:hAnsi="Arial" w:cs="Arial"/>
        </w:rPr>
        <w:t>sistema integrado de compras públicas</w:t>
      </w:r>
      <w:bookmarkEnd w:id="65"/>
      <w:r w:rsidRPr="003B5F2A">
        <w:rPr>
          <w:rFonts w:ascii="Arial" w:hAnsi="Arial" w:cs="Arial"/>
        </w:rPr>
        <w:t xml:space="preserve"> "SICOP", Decreto Ejecutivo: 41438</w:t>
      </w:r>
      <w:r>
        <w:rPr>
          <w:rFonts w:ascii="Arial" w:hAnsi="Arial" w:cs="Arial"/>
        </w:rPr>
        <w:t xml:space="preserve">, Lineamientos, </w:t>
      </w:r>
      <w:r w:rsidRPr="003B5F2A">
        <w:rPr>
          <w:rFonts w:ascii="Arial" w:hAnsi="Arial" w:cs="Arial"/>
        </w:rPr>
        <w:t>Circulares y normativa relacionada emitida por la Proveeduría Institucional</w:t>
      </w:r>
      <w:r>
        <w:rPr>
          <w:rFonts w:ascii="Arial" w:hAnsi="Arial" w:cs="Arial"/>
        </w:rPr>
        <w:t xml:space="preserve"> y los </w:t>
      </w:r>
      <w:r w:rsidRPr="003B5F2A">
        <w:rPr>
          <w:rFonts w:ascii="Arial" w:hAnsi="Arial" w:cs="Arial"/>
        </w:rPr>
        <w:t>Contratos y cláusulas referidas en los expedientes en estudio.</w:t>
      </w:r>
    </w:p>
    <w:p w14:paraId="7382CD84" w14:textId="4719B08B" w:rsidR="008C51A6" w:rsidRDefault="008C51A6">
      <w:pPr>
        <w:autoSpaceDE w:val="0"/>
        <w:autoSpaceDN w:val="0"/>
        <w:adjustRightInd w:val="0"/>
        <w:spacing w:after="0" w:line="240" w:lineRule="auto"/>
        <w:contextualSpacing/>
        <w:jc w:val="both"/>
        <w:rPr>
          <w:rFonts w:ascii="Arial" w:hAnsi="Arial" w:cs="Arial"/>
        </w:rPr>
      </w:pPr>
    </w:p>
    <w:p w14:paraId="3F96A7DA" w14:textId="77777777" w:rsidR="0096751E" w:rsidRDefault="0096751E">
      <w:pPr>
        <w:autoSpaceDE w:val="0"/>
        <w:autoSpaceDN w:val="0"/>
        <w:adjustRightInd w:val="0"/>
        <w:spacing w:after="0" w:line="240" w:lineRule="auto"/>
        <w:contextualSpacing/>
        <w:jc w:val="both"/>
        <w:rPr>
          <w:rFonts w:ascii="Arial" w:hAnsi="Arial" w:cs="Arial"/>
        </w:rPr>
      </w:pPr>
    </w:p>
    <w:p w14:paraId="7C133EC1"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6" w:name="_Toc108431893"/>
      <w:r w:rsidRPr="00A136E4">
        <w:rPr>
          <w:rFonts w:ascii="Arial" w:hAnsi="Arial" w:cs="Arial"/>
          <w:b/>
          <w:color w:val="17365D"/>
          <w:sz w:val="24"/>
          <w:szCs w:val="24"/>
        </w:rPr>
        <w:t>Metodología aplicada</w:t>
      </w:r>
      <w:bookmarkEnd w:id="66"/>
    </w:p>
    <w:p w14:paraId="095B716C" w14:textId="77777777" w:rsidR="00FE7E57" w:rsidRDefault="00FE7E57">
      <w:pPr>
        <w:autoSpaceDE w:val="0"/>
        <w:autoSpaceDN w:val="0"/>
        <w:adjustRightInd w:val="0"/>
        <w:spacing w:after="0" w:line="240" w:lineRule="auto"/>
        <w:contextualSpacing/>
        <w:jc w:val="both"/>
        <w:rPr>
          <w:rFonts w:ascii="Arial" w:eastAsia="Times New Roman" w:hAnsi="Arial" w:cs="Arial"/>
          <w:color w:val="000000"/>
          <w:sz w:val="24"/>
          <w:szCs w:val="24"/>
        </w:rPr>
      </w:pPr>
    </w:p>
    <w:p w14:paraId="141AE0BA" w14:textId="77777777" w:rsidR="00021743" w:rsidRPr="00021743" w:rsidRDefault="00021743" w:rsidP="00021743">
      <w:pPr>
        <w:autoSpaceDE w:val="0"/>
        <w:autoSpaceDN w:val="0"/>
        <w:adjustRightInd w:val="0"/>
        <w:spacing w:after="0" w:line="240" w:lineRule="auto"/>
        <w:contextualSpacing/>
        <w:jc w:val="both"/>
        <w:rPr>
          <w:rFonts w:ascii="Arial" w:eastAsia="Times New Roman" w:hAnsi="Arial" w:cs="Arial"/>
          <w:color w:val="000000"/>
          <w:lang w:val="es-ES"/>
        </w:rPr>
      </w:pPr>
      <w:r w:rsidRPr="00021743">
        <w:rPr>
          <w:rFonts w:ascii="Arial" w:eastAsia="Times New Roman" w:hAnsi="Arial" w:cs="Arial"/>
          <w:color w:val="000000"/>
          <w:lang w:val="es-ES"/>
        </w:rPr>
        <w:t>La auditoría se realizó de conformidad con las Normas Generales de Auditoría para el Sector Público y el Procedimiento General de Auditoría.</w:t>
      </w:r>
    </w:p>
    <w:p w14:paraId="41BB66A4" w14:textId="6B8F4D07" w:rsidR="00021743" w:rsidRDefault="00021743" w:rsidP="00021743">
      <w:pPr>
        <w:autoSpaceDE w:val="0"/>
        <w:autoSpaceDN w:val="0"/>
        <w:adjustRightInd w:val="0"/>
        <w:spacing w:after="0" w:line="240" w:lineRule="auto"/>
        <w:contextualSpacing/>
        <w:jc w:val="both"/>
        <w:rPr>
          <w:rFonts w:ascii="Arial" w:hAnsi="Arial" w:cs="Arial"/>
        </w:rPr>
      </w:pPr>
    </w:p>
    <w:p w14:paraId="738B04D8" w14:textId="77777777" w:rsidR="0096751E" w:rsidRDefault="0096751E" w:rsidP="00021743">
      <w:pPr>
        <w:autoSpaceDE w:val="0"/>
        <w:autoSpaceDN w:val="0"/>
        <w:adjustRightInd w:val="0"/>
        <w:spacing w:after="0" w:line="240" w:lineRule="auto"/>
        <w:contextualSpacing/>
        <w:jc w:val="both"/>
        <w:rPr>
          <w:rFonts w:ascii="Arial" w:hAnsi="Arial" w:cs="Arial"/>
        </w:rPr>
      </w:pPr>
    </w:p>
    <w:p w14:paraId="4D5D719A"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7" w:name="_Toc108431894"/>
      <w:r w:rsidRPr="00A136E4">
        <w:rPr>
          <w:rFonts w:ascii="Arial" w:hAnsi="Arial" w:cs="Arial"/>
          <w:b/>
          <w:color w:val="17365D"/>
          <w:sz w:val="24"/>
          <w:szCs w:val="24"/>
        </w:rPr>
        <w:lastRenderedPageBreak/>
        <w:t>Comunicación de resultados</w:t>
      </w:r>
      <w:bookmarkEnd w:id="45"/>
      <w:bookmarkEnd w:id="46"/>
      <w:bookmarkEnd w:id="47"/>
      <w:bookmarkEnd w:id="62"/>
      <w:bookmarkEnd w:id="67"/>
    </w:p>
    <w:p w14:paraId="14DBFA7D" w14:textId="77777777" w:rsidR="00FE7E57" w:rsidRDefault="00FE7E57">
      <w:pPr>
        <w:autoSpaceDE w:val="0"/>
        <w:autoSpaceDN w:val="0"/>
        <w:adjustRightInd w:val="0"/>
        <w:spacing w:after="0" w:line="240" w:lineRule="auto"/>
        <w:contextualSpacing/>
        <w:jc w:val="both"/>
        <w:rPr>
          <w:rFonts w:ascii="Arial" w:eastAsia="Times New Roman" w:hAnsi="Arial" w:cs="Arial"/>
          <w:color w:val="000000"/>
          <w:sz w:val="24"/>
          <w:szCs w:val="24"/>
          <w:highlight w:val="yellow"/>
        </w:rPr>
      </w:pPr>
    </w:p>
    <w:p w14:paraId="56254335" w14:textId="77777777" w:rsidR="00D242FD" w:rsidRPr="00D242FD" w:rsidRDefault="00D242FD" w:rsidP="00D242FD">
      <w:pPr>
        <w:autoSpaceDE w:val="0"/>
        <w:autoSpaceDN w:val="0"/>
        <w:adjustRightInd w:val="0"/>
        <w:spacing w:after="0" w:line="240" w:lineRule="auto"/>
        <w:contextualSpacing/>
        <w:jc w:val="both"/>
        <w:rPr>
          <w:rFonts w:ascii="Arial" w:eastAsia="Times New Roman" w:hAnsi="Arial" w:cs="Arial"/>
          <w:color w:val="000000"/>
        </w:rPr>
      </w:pPr>
      <w:r w:rsidRPr="00D242FD">
        <w:rPr>
          <w:rFonts w:ascii="Arial" w:eastAsia="Times New Roman" w:hAnsi="Arial" w:cs="Arial"/>
          <w:color w:val="000000"/>
        </w:rPr>
        <w:t xml:space="preserve">Como parte del proceso de confirmación de resultados, los hallazgos obtenidos se validaron el día 16 de mayo del 2022, con la Licda. Yesenia Ledezma Rodríguez, </w:t>
      </w:r>
      <w:r w:rsidR="00B702A4">
        <w:rPr>
          <w:rFonts w:ascii="Arial" w:eastAsia="Times New Roman" w:hAnsi="Arial" w:cs="Arial"/>
          <w:color w:val="000000"/>
        </w:rPr>
        <w:t>Proveedora</w:t>
      </w:r>
      <w:r w:rsidRPr="00D242FD">
        <w:rPr>
          <w:rFonts w:ascii="Arial" w:eastAsia="Times New Roman" w:hAnsi="Arial" w:cs="Arial"/>
          <w:color w:val="000000"/>
        </w:rPr>
        <w:t xml:space="preserve"> Institucional y la Licda. Sandra Venegas Fallas, Coordinadora Unidad de Programación y Control, </w:t>
      </w:r>
      <w:r w:rsidR="00F4061D">
        <w:rPr>
          <w:rFonts w:ascii="Arial" w:eastAsia="Times New Roman" w:hAnsi="Arial" w:cs="Arial"/>
          <w:color w:val="000000"/>
        </w:rPr>
        <w:t xml:space="preserve">quienes realizaron </w:t>
      </w:r>
      <w:r w:rsidRPr="00D242FD">
        <w:rPr>
          <w:rFonts w:ascii="Arial" w:eastAsia="Times New Roman" w:hAnsi="Arial" w:cs="Arial"/>
          <w:color w:val="000000"/>
        </w:rPr>
        <w:t>las respectivas observaciones</w:t>
      </w:r>
      <w:r w:rsidR="00D7433F">
        <w:rPr>
          <w:rFonts w:ascii="Arial" w:eastAsia="Times New Roman" w:hAnsi="Arial" w:cs="Arial"/>
          <w:color w:val="000000"/>
        </w:rPr>
        <w:t>,</w:t>
      </w:r>
      <w:r w:rsidRPr="00D242FD">
        <w:rPr>
          <w:rFonts w:ascii="Arial" w:eastAsia="Times New Roman" w:hAnsi="Arial" w:cs="Arial"/>
          <w:color w:val="000000"/>
        </w:rPr>
        <w:t xml:space="preserve"> las cuales fueron valoradas y documentadas por esta Auditoría Interna.  </w:t>
      </w:r>
    </w:p>
    <w:p w14:paraId="6E903220" w14:textId="77777777" w:rsidR="00D242FD" w:rsidRPr="00D242FD" w:rsidRDefault="00D242FD" w:rsidP="00D242FD">
      <w:pPr>
        <w:autoSpaceDE w:val="0"/>
        <w:autoSpaceDN w:val="0"/>
        <w:adjustRightInd w:val="0"/>
        <w:spacing w:after="0" w:line="240" w:lineRule="auto"/>
        <w:contextualSpacing/>
        <w:jc w:val="both"/>
        <w:rPr>
          <w:rFonts w:ascii="Arial" w:eastAsia="Times New Roman" w:hAnsi="Arial" w:cs="Arial"/>
          <w:color w:val="000000"/>
        </w:rPr>
      </w:pPr>
    </w:p>
    <w:p w14:paraId="2CDFE8B7" w14:textId="2D43D3EF" w:rsidR="00D242FD" w:rsidRPr="00D242FD" w:rsidRDefault="00D242FD" w:rsidP="00D242FD">
      <w:pPr>
        <w:autoSpaceDE w:val="0"/>
        <w:autoSpaceDN w:val="0"/>
        <w:adjustRightInd w:val="0"/>
        <w:spacing w:after="0" w:line="240" w:lineRule="auto"/>
        <w:contextualSpacing/>
        <w:jc w:val="both"/>
        <w:rPr>
          <w:rFonts w:ascii="Arial" w:eastAsia="Times New Roman" w:hAnsi="Arial" w:cs="Arial"/>
          <w:color w:val="000000"/>
        </w:rPr>
      </w:pPr>
      <w:r w:rsidRPr="00D242FD">
        <w:rPr>
          <w:rFonts w:ascii="Arial" w:eastAsia="Times New Roman" w:hAnsi="Arial" w:cs="Arial"/>
          <w:color w:val="000000"/>
        </w:rPr>
        <w:t xml:space="preserve">La comunicación preliminar de los resultados, conclusiones y recomendaciones producto de la auditoría se efectuó el </w:t>
      </w:r>
      <w:r w:rsidR="00CB058B" w:rsidRPr="00CB058B">
        <w:rPr>
          <w:rFonts w:ascii="Arial" w:eastAsia="Times New Roman" w:hAnsi="Arial" w:cs="Arial"/>
          <w:color w:val="000000"/>
        </w:rPr>
        <w:t>04</w:t>
      </w:r>
      <w:r w:rsidRPr="00D242FD">
        <w:rPr>
          <w:rFonts w:ascii="Arial" w:eastAsia="Times New Roman" w:hAnsi="Arial" w:cs="Arial"/>
          <w:color w:val="000000"/>
        </w:rPr>
        <w:t xml:space="preserve"> de </w:t>
      </w:r>
      <w:r w:rsidR="00CB058B">
        <w:rPr>
          <w:rFonts w:ascii="Arial" w:eastAsia="Times New Roman" w:hAnsi="Arial" w:cs="Arial"/>
          <w:color w:val="000000"/>
        </w:rPr>
        <w:t>julio</w:t>
      </w:r>
      <w:r w:rsidRPr="00D242FD">
        <w:rPr>
          <w:rFonts w:ascii="Arial" w:eastAsia="Times New Roman" w:hAnsi="Arial" w:cs="Arial"/>
          <w:color w:val="000000"/>
        </w:rPr>
        <w:t xml:space="preserve"> del 2022, a la Licda. Patricia Navarro Vargas, </w:t>
      </w:r>
      <w:r w:rsidR="00105E4B" w:rsidRPr="00105E4B">
        <w:rPr>
          <w:rFonts w:ascii="Arial" w:eastAsia="Times New Roman" w:hAnsi="Arial" w:cs="Arial"/>
          <w:color w:val="000000"/>
        </w:rPr>
        <w:t xml:space="preserve">Oficial Mayor y Directora Administrativa y Financiera </w:t>
      </w:r>
      <w:r w:rsidR="00551815">
        <w:rPr>
          <w:rFonts w:ascii="Arial" w:eastAsia="Times New Roman" w:hAnsi="Arial" w:cs="Arial"/>
          <w:color w:val="000000"/>
        </w:rPr>
        <w:t xml:space="preserve">y a la </w:t>
      </w:r>
      <w:r w:rsidR="00551815" w:rsidRPr="00551815">
        <w:rPr>
          <w:rFonts w:ascii="Arial" w:eastAsia="Times New Roman" w:hAnsi="Arial" w:cs="Arial"/>
          <w:color w:val="000000"/>
        </w:rPr>
        <w:t>Licda. Sandra Venegas Fallas</w:t>
      </w:r>
      <w:r w:rsidR="00551815">
        <w:rPr>
          <w:rFonts w:ascii="Arial" w:eastAsia="Times New Roman" w:hAnsi="Arial" w:cs="Arial"/>
          <w:color w:val="000000"/>
        </w:rPr>
        <w:t xml:space="preserve">, </w:t>
      </w:r>
      <w:r w:rsidR="00551815" w:rsidRPr="00551815">
        <w:rPr>
          <w:rFonts w:ascii="Arial" w:eastAsia="Times New Roman" w:hAnsi="Arial" w:cs="Arial"/>
          <w:color w:val="000000"/>
        </w:rPr>
        <w:t>Coordinadora</w:t>
      </w:r>
      <w:r w:rsidR="00551815">
        <w:rPr>
          <w:rFonts w:ascii="Arial" w:eastAsia="Times New Roman" w:hAnsi="Arial" w:cs="Arial"/>
          <w:color w:val="000000"/>
        </w:rPr>
        <w:t xml:space="preserve"> de la</w:t>
      </w:r>
      <w:r w:rsidR="00551815" w:rsidRPr="00551815">
        <w:rPr>
          <w:rFonts w:ascii="Arial" w:eastAsia="Times New Roman" w:hAnsi="Arial" w:cs="Arial"/>
          <w:color w:val="000000"/>
        </w:rPr>
        <w:t xml:space="preserve"> Unidad de Programación y Control</w:t>
      </w:r>
      <w:r w:rsidR="00551815">
        <w:rPr>
          <w:rFonts w:ascii="Arial" w:eastAsia="Times New Roman" w:hAnsi="Arial" w:cs="Arial"/>
          <w:color w:val="000000"/>
        </w:rPr>
        <w:t xml:space="preserve"> del </w:t>
      </w:r>
      <w:r w:rsidR="00551815" w:rsidRPr="00551815">
        <w:rPr>
          <w:rFonts w:ascii="Arial" w:eastAsia="Times New Roman" w:hAnsi="Arial" w:cs="Arial"/>
          <w:color w:val="000000"/>
        </w:rPr>
        <w:t>Departamento de Proveeduría Institucional</w:t>
      </w:r>
      <w:r w:rsidRPr="00D242FD">
        <w:rPr>
          <w:rFonts w:ascii="Arial" w:eastAsia="Times New Roman" w:hAnsi="Arial" w:cs="Arial"/>
          <w:color w:val="000000"/>
        </w:rPr>
        <w:t>. Las observaciones realizadas por los participantes fueron consignadas en el informe en lo que resultaron procedentes. (</w:t>
      </w:r>
      <w:r w:rsidRPr="00B17C78">
        <w:rPr>
          <w:rFonts w:ascii="Arial" w:eastAsia="Times New Roman" w:hAnsi="Arial" w:cs="Arial"/>
          <w:b/>
          <w:color w:val="000000"/>
        </w:rPr>
        <w:t>Ver Anexo 1</w:t>
      </w:r>
      <w:r w:rsidRPr="00D242FD">
        <w:rPr>
          <w:rFonts w:ascii="Arial" w:eastAsia="Times New Roman" w:hAnsi="Arial" w:cs="Arial"/>
          <w:color w:val="000000"/>
        </w:rPr>
        <w:t xml:space="preserve">) </w:t>
      </w:r>
    </w:p>
    <w:p w14:paraId="24EF8E52" w14:textId="77777777" w:rsidR="00D242FD" w:rsidRPr="00D242FD" w:rsidRDefault="00D242FD" w:rsidP="00D242FD">
      <w:pPr>
        <w:autoSpaceDE w:val="0"/>
        <w:autoSpaceDN w:val="0"/>
        <w:adjustRightInd w:val="0"/>
        <w:spacing w:after="0" w:line="240" w:lineRule="auto"/>
        <w:contextualSpacing/>
        <w:jc w:val="both"/>
        <w:rPr>
          <w:rFonts w:ascii="Arial" w:eastAsia="Times New Roman" w:hAnsi="Arial" w:cs="Arial"/>
          <w:color w:val="000000"/>
        </w:rPr>
      </w:pPr>
    </w:p>
    <w:p w14:paraId="1533B177" w14:textId="4A7C9AB7" w:rsidR="00D242FD" w:rsidRPr="00D242FD" w:rsidRDefault="00D242FD" w:rsidP="00D242FD">
      <w:pPr>
        <w:autoSpaceDE w:val="0"/>
        <w:autoSpaceDN w:val="0"/>
        <w:adjustRightInd w:val="0"/>
        <w:spacing w:after="0" w:line="240" w:lineRule="auto"/>
        <w:contextualSpacing/>
        <w:jc w:val="both"/>
        <w:rPr>
          <w:rFonts w:ascii="Arial" w:eastAsia="Times New Roman" w:hAnsi="Arial" w:cs="Arial"/>
          <w:color w:val="000000"/>
        </w:rPr>
      </w:pPr>
      <w:r w:rsidRPr="00D242FD">
        <w:rPr>
          <w:rFonts w:ascii="Arial" w:eastAsia="Times New Roman" w:hAnsi="Arial" w:cs="Arial"/>
          <w:color w:val="000000"/>
        </w:rPr>
        <w:t>Mediante el oficio N°AI-</w:t>
      </w:r>
      <w:r w:rsidR="00CB058B">
        <w:rPr>
          <w:rFonts w:ascii="Arial" w:eastAsia="Times New Roman" w:hAnsi="Arial" w:cs="Arial"/>
          <w:color w:val="000000"/>
        </w:rPr>
        <w:t>457</w:t>
      </w:r>
      <w:r w:rsidRPr="00D242FD">
        <w:rPr>
          <w:rFonts w:ascii="Arial" w:eastAsia="Times New Roman" w:hAnsi="Arial" w:cs="Arial"/>
          <w:color w:val="000000"/>
        </w:rPr>
        <w:t>-202</w:t>
      </w:r>
      <w:r w:rsidR="00CB058B">
        <w:rPr>
          <w:rFonts w:ascii="Arial" w:eastAsia="Times New Roman" w:hAnsi="Arial" w:cs="Arial"/>
          <w:color w:val="000000"/>
        </w:rPr>
        <w:t>2</w:t>
      </w:r>
      <w:r w:rsidRPr="00D242FD">
        <w:rPr>
          <w:rFonts w:ascii="Arial" w:eastAsia="Times New Roman" w:hAnsi="Arial" w:cs="Arial"/>
          <w:color w:val="000000"/>
        </w:rPr>
        <w:t xml:space="preserve">, de fecha </w:t>
      </w:r>
      <w:r w:rsidR="00CB058B">
        <w:rPr>
          <w:rFonts w:ascii="Arial" w:eastAsia="Times New Roman" w:hAnsi="Arial" w:cs="Arial"/>
          <w:color w:val="000000"/>
        </w:rPr>
        <w:t>28</w:t>
      </w:r>
      <w:r w:rsidRPr="00D242FD">
        <w:rPr>
          <w:rFonts w:ascii="Arial" w:eastAsia="Times New Roman" w:hAnsi="Arial" w:cs="Arial"/>
          <w:color w:val="000000"/>
        </w:rPr>
        <w:t xml:space="preserve"> de </w:t>
      </w:r>
      <w:r w:rsidR="00CB058B">
        <w:rPr>
          <w:rFonts w:ascii="Arial" w:eastAsia="Times New Roman" w:hAnsi="Arial" w:cs="Arial"/>
          <w:color w:val="000000"/>
        </w:rPr>
        <w:t>junio</w:t>
      </w:r>
      <w:r w:rsidRPr="00D242FD">
        <w:rPr>
          <w:rFonts w:ascii="Arial" w:eastAsia="Times New Roman" w:hAnsi="Arial" w:cs="Arial"/>
          <w:color w:val="000000"/>
        </w:rPr>
        <w:t xml:space="preserve"> de 2022 se convocó a la Administración Activa a la exposición verbal de resultados y se remitió el borrador del informe para su conocimiento y envío de observaciones en caso de considerarlo pertinente. </w:t>
      </w:r>
    </w:p>
    <w:p w14:paraId="7B2BD541" w14:textId="2B8417A9" w:rsidR="00D242FD" w:rsidRDefault="00D242FD" w:rsidP="00D242FD">
      <w:pPr>
        <w:autoSpaceDE w:val="0"/>
        <w:autoSpaceDN w:val="0"/>
        <w:adjustRightInd w:val="0"/>
        <w:spacing w:after="0" w:line="240" w:lineRule="auto"/>
        <w:contextualSpacing/>
        <w:jc w:val="both"/>
        <w:rPr>
          <w:rFonts w:ascii="Arial" w:eastAsia="Times New Roman" w:hAnsi="Arial" w:cs="Arial"/>
          <w:color w:val="000000"/>
        </w:rPr>
      </w:pPr>
    </w:p>
    <w:p w14:paraId="058C7A4D" w14:textId="77777777" w:rsidR="0096751E" w:rsidRPr="00D242FD" w:rsidRDefault="0096751E" w:rsidP="00D242FD">
      <w:pPr>
        <w:autoSpaceDE w:val="0"/>
        <w:autoSpaceDN w:val="0"/>
        <w:adjustRightInd w:val="0"/>
        <w:spacing w:after="0" w:line="240" w:lineRule="auto"/>
        <w:contextualSpacing/>
        <w:jc w:val="both"/>
        <w:rPr>
          <w:rFonts w:ascii="Arial" w:eastAsia="Times New Roman" w:hAnsi="Arial" w:cs="Arial"/>
          <w:color w:val="000000"/>
        </w:rPr>
      </w:pPr>
    </w:p>
    <w:p w14:paraId="0962EEEC" w14:textId="77777777" w:rsidR="0055222A" w:rsidRPr="00A136E4"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68" w:name="_Toc108431895"/>
      <w:bookmarkStart w:id="69" w:name="_Toc390783327"/>
      <w:bookmarkEnd w:id="48"/>
      <w:bookmarkEnd w:id="49"/>
      <w:r w:rsidRPr="00A136E4">
        <w:rPr>
          <w:rFonts w:ascii="Arial" w:hAnsi="Arial" w:cs="Arial"/>
          <w:b/>
          <w:color w:val="17365D"/>
          <w:sz w:val="24"/>
          <w:szCs w:val="24"/>
        </w:rPr>
        <w:t>Normativa relacionada con el control interno</w:t>
      </w:r>
      <w:bookmarkEnd w:id="68"/>
    </w:p>
    <w:p w14:paraId="33748E41" w14:textId="77777777" w:rsidR="00C015B2" w:rsidRDefault="00C015B2">
      <w:pPr>
        <w:autoSpaceDE w:val="0"/>
        <w:autoSpaceDN w:val="0"/>
        <w:adjustRightInd w:val="0"/>
        <w:spacing w:after="0" w:line="240" w:lineRule="auto"/>
        <w:contextualSpacing/>
        <w:jc w:val="both"/>
        <w:rPr>
          <w:rFonts w:ascii="Arial" w:eastAsia="Times New Roman" w:hAnsi="Arial" w:cs="Arial"/>
          <w:color w:val="000000"/>
          <w:sz w:val="24"/>
          <w:szCs w:val="24"/>
        </w:rPr>
      </w:pPr>
    </w:p>
    <w:bookmarkEnd w:id="50"/>
    <w:bookmarkEnd w:id="51"/>
    <w:bookmarkEnd w:id="52"/>
    <w:bookmarkEnd w:id="69"/>
    <w:p w14:paraId="19822823" w14:textId="77777777" w:rsidR="00780F9F" w:rsidRPr="00780F9F" w:rsidRDefault="00780F9F">
      <w:pPr>
        <w:autoSpaceDE w:val="0"/>
        <w:autoSpaceDN w:val="0"/>
        <w:adjustRightInd w:val="0"/>
        <w:spacing w:after="0" w:line="240" w:lineRule="auto"/>
        <w:contextualSpacing/>
        <w:jc w:val="both"/>
        <w:rPr>
          <w:rFonts w:ascii="Arial" w:hAnsi="Arial" w:cs="Arial"/>
          <w:color w:val="000000"/>
        </w:rPr>
      </w:pPr>
      <w:r w:rsidRPr="00780F9F">
        <w:rPr>
          <w:rFonts w:ascii="Arial" w:hAnsi="Arial" w:cs="Arial"/>
          <w:color w:val="000000"/>
        </w:rPr>
        <w:t>Este informe debe tramitarse de acuerdo con los alcances establecidos en la Ley General de Control Interno (Ley N°8292) y el Manual para la Atención de los Informes de la Contraloría General de la República y de la Dirección General de Auditoría Interna en el Ministerio de Hacienda (Decreto N°34323-H).</w:t>
      </w:r>
    </w:p>
    <w:p w14:paraId="314A75FF" w14:textId="705C7F21" w:rsidR="004644EB" w:rsidRDefault="004644EB">
      <w:pPr>
        <w:autoSpaceDE w:val="0"/>
        <w:autoSpaceDN w:val="0"/>
        <w:adjustRightInd w:val="0"/>
        <w:spacing w:after="0" w:line="240" w:lineRule="auto"/>
        <w:contextualSpacing/>
        <w:jc w:val="both"/>
        <w:rPr>
          <w:rFonts w:ascii="Arial" w:eastAsia="Times New Roman" w:hAnsi="Arial" w:cs="Arial"/>
          <w:color w:val="000000"/>
        </w:rPr>
      </w:pPr>
    </w:p>
    <w:p w14:paraId="278610EC" w14:textId="77777777" w:rsidR="0096751E" w:rsidRPr="0057432A" w:rsidRDefault="0096751E">
      <w:pPr>
        <w:autoSpaceDE w:val="0"/>
        <w:autoSpaceDN w:val="0"/>
        <w:adjustRightInd w:val="0"/>
        <w:spacing w:after="0" w:line="240" w:lineRule="auto"/>
        <w:contextualSpacing/>
        <w:jc w:val="both"/>
        <w:rPr>
          <w:rFonts w:ascii="Arial" w:eastAsia="Times New Roman" w:hAnsi="Arial" w:cs="Arial"/>
          <w:color w:val="000000"/>
        </w:rPr>
      </w:pPr>
    </w:p>
    <w:p w14:paraId="109D82B8" w14:textId="77777777" w:rsidR="0055222A" w:rsidRDefault="0055222A">
      <w:pPr>
        <w:pStyle w:val="Ttulo1"/>
        <w:keepNext w:val="0"/>
        <w:keepLines w:val="0"/>
        <w:numPr>
          <w:ilvl w:val="1"/>
          <w:numId w:val="19"/>
        </w:numPr>
        <w:spacing w:before="0" w:after="0"/>
        <w:ind w:left="567" w:hanging="567"/>
        <w:contextualSpacing/>
        <w:rPr>
          <w:rFonts w:ascii="Arial" w:hAnsi="Arial" w:cs="Arial"/>
          <w:b/>
          <w:color w:val="17365D"/>
          <w:sz w:val="24"/>
          <w:szCs w:val="24"/>
        </w:rPr>
      </w:pPr>
      <w:bookmarkStart w:id="70" w:name="_Toc390783328"/>
      <w:bookmarkStart w:id="71" w:name="_Toc108431896"/>
      <w:r w:rsidRPr="00A136E4">
        <w:rPr>
          <w:rFonts w:ascii="Arial" w:hAnsi="Arial" w:cs="Arial"/>
          <w:b/>
          <w:color w:val="17365D"/>
          <w:sz w:val="24"/>
          <w:szCs w:val="24"/>
        </w:rPr>
        <w:t>Generalidades</w:t>
      </w:r>
      <w:bookmarkEnd w:id="53"/>
      <w:bookmarkEnd w:id="54"/>
      <w:bookmarkEnd w:id="70"/>
      <w:bookmarkEnd w:id="71"/>
    </w:p>
    <w:p w14:paraId="281B03F0" w14:textId="77777777" w:rsidR="00B17C78" w:rsidRDefault="00B17C78" w:rsidP="00B17C78">
      <w:pPr>
        <w:spacing w:after="0" w:line="240" w:lineRule="auto"/>
        <w:jc w:val="both"/>
        <w:rPr>
          <w:rFonts w:ascii="Arial" w:hAnsi="Arial" w:cs="Arial"/>
          <w:color w:val="000000"/>
        </w:rPr>
      </w:pPr>
      <w:bookmarkStart w:id="72" w:name="_Hlk106270808"/>
    </w:p>
    <w:p w14:paraId="45C95B34" w14:textId="61F8FD51" w:rsidR="009E5832" w:rsidRPr="008F29D2" w:rsidRDefault="008E6988" w:rsidP="008F29D2">
      <w:pPr>
        <w:spacing w:line="240" w:lineRule="auto"/>
        <w:jc w:val="both"/>
        <w:rPr>
          <w:rFonts w:ascii="Arial" w:hAnsi="Arial" w:cs="Arial"/>
          <w:color w:val="000000"/>
        </w:rPr>
      </w:pPr>
      <w:r w:rsidRPr="008F29D2">
        <w:rPr>
          <w:rFonts w:ascii="Arial" w:hAnsi="Arial" w:cs="Arial"/>
          <w:color w:val="000000"/>
        </w:rPr>
        <w:t>L</w:t>
      </w:r>
      <w:r w:rsidR="009E5832" w:rsidRPr="008F29D2">
        <w:rPr>
          <w:rFonts w:ascii="Arial" w:hAnsi="Arial" w:cs="Arial"/>
          <w:color w:val="000000"/>
        </w:rPr>
        <w:t>a Ley de Contratación Administrativa N°7494 y su Reglamento</w:t>
      </w:r>
      <w:r w:rsidRPr="008F29D2">
        <w:rPr>
          <w:rStyle w:val="Refdenotaalpie"/>
          <w:rFonts w:ascii="Arial" w:hAnsi="Arial" w:cs="Arial"/>
        </w:rPr>
        <w:footnoteReference w:id="2"/>
      </w:r>
      <w:r w:rsidR="009E5832" w:rsidRPr="008F29D2">
        <w:rPr>
          <w:rFonts w:ascii="Arial" w:hAnsi="Arial" w:cs="Arial"/>
          <w:color w:val="000000"/>
        </w:rPr>
        <w:t xml:space="preserve">, </w:t>
      </w:r>
      <w:r w:rsidR="00710BA7">
        <w:rPr>
          <w:rFonts w:ascii="Arial" w:hAnsi="Arial" w:cs="Arial"/>
          <w:color w:val="000000"/>
        </w:rPr>
        <w:t xml:space="preserve">refiere que </w:t>
      </w:r>
      <w:r w:rsidR="00710BA7" w:rsidRPr="008F29D2">
        <w:rPr>
          <w:rFonts w:ascii="Arial" w:hAnsi="Arial" w:cs="Arial"/>
          <w:color w:val="000000"/>
        </w:rPr>
        <w:t>el proceso de contratación administrativa está sujeto a los principios, los requisitos y los procedimientos ordinarios establecidos por dicha Ley y demás normativa</w:t>
      </w:r>
      <w:r w:rsidR="00710BA7" w:rsidRPr="008F29D2">
        <w:rPr>
          <w:rStyle w:val="Refdenotaalpie"/>
          <w:rFonts w:ascii="Arial" w:hAnsi="Arial" w:cs="Arial"/>
        </w:rPr>
        <w:footnoteReference w:id="3"/>
      </w:r>
      <w:r w:rsidR="00710BA7">
        <w:rPr>
          <w:rFonts w:ascii="Arial" w:hAnsi="Arial" w:cs="Arial"/>
          <w:color w:val="000000"/>
        </w:rPr>
        <w:t xml:space="preserve">, por lo cual </w:t>
      </w:r>
      <w:r w:rsidR="009E5832" w:rsidRPr="008F29D2">
        <w:rPr>
          <w:rFonts w:ascii="Arial" w:hAnsi="Arial" w:cs="Arial"/>
          <w:color w:val="000000"/>
        </w:rPr>
        <w:t>son la base para diseñar e implementar los lineamientos y las prácticas necesarias para normar los distintos procedimientos y orientarlos al cumplimiento de los fines, metas y objetivos institucionales</w:t>
      </w:r>
      <w:r w:rsidR="00BE2946" w:rsidRPr="008F29D2">
        <w:rPr>
          <w:rStyle w:val="Refdenotaalpie"/>
          <w:rFonts w:ascii="Arial" w:hAnsi="Arial" w:cs="Arial"/>
        </w:rPr>
        <w:footnoteReference w:id="4"/>
      </w:r>
      <w:r w:rsidR="00710BA7">
        <w:rPr>
          <w:rFonts w:ascii="Arial" w:hAnsi="Arial" w:cs="Arial"/>
          <w:color w:val="000000"/>
        </w:rPr>
        <w:t>.</w:t>
      </w:r>
    </w:p>
    <w:bookmarkEnd w:id="72"/>
    <w:p w14:paraId="6C28F6B8" w14:textId="77777777" w:rsidR="0096751E" w:rsidRDefault="008E6988" w:rsidP="0096751E">
      <w:pPr>
        <w:autoSpaceDE w:val="0"/>
        <w:autoSpaceDN w:val="0"/>
        <w:adjustRightInd w:val="0"/>
        <w:spacing w:after="0" w:line="240" w:lineRule="auto"/>
        <w:contextualSpacing/>
        <w:jc w:val="both"/>
        <w:rPr>
          <w:rFonts w:ascii="Arial" w:hAnsi="Arial" w:cs="Arial"/>
          <w:lang w:eastAsia="es-CR"/>
        </w:rPr>
      </w:pPr>
      <w:r w:rsidRPr="008F29D2">
        <w:rPr>
          <w:rFonts w:ascii="Arial" w:hAnsi="Arial" w:cs="Arial"/>
          <w:lang w:eastAsia="es-CR"/>
        </w:rPr>
        <w:t>Asimismo, el Decreto Ejecutivo N°33411</w:t>
      </w:r>
      <w:r w:rsidRPr="008F29D2">
        <w:rPr>
          <w:rStyle w:val="Refdenotaalpie"/>
          <w:rFonts w:ascii="Arial" w:hAnsi="Arial" w:cs="Arial"/>
        </w:rPr>
        <w:footnoteReference w:id="5"/>
      </w:r>
      <w:r w:rsidRPr="008F29D2">
        <w:rPr>
          <w:rFonts w:ascii="Arial" w:hAnsi="Arial" w:cs="Arial"/>
        </w:rPr>
        <w:t xml:space="preserve">, </w:t>
      </w:r>
      <w:r w:rsidR="00BE343A" w:rsidRPr="008F29D2">
        <w:rPr>
          <w:rFonts w:ascii="Arial" w:hAnsi="Arial" w:cs="Arial"/>
          <w:color w:val="000000"/>
        </w:rPr>
        <w:t xml:space="preserve">en su punto 5 del considerando </w:t>
      </w:r>
      <w:r w:rsidRPr="008F29D2">
        <w:rPr>
          <w:rFonts w:ascii="Arial" w:hAnsi="Arial" w:cs="Arial"/>
          <w:color w:val="000000"/>
        </w:rPr>
        <w:t xml:space="preserve">establece que, los procedimientos de contratación administrativa se fundamentan en tres pilares básicos para desarrollar el proceso de adquisiciones de bienes y servicios, como son, planificación, los procedimientos selección del contratista y ejecución contractual, según se visualiza </w:t>
      </w:r>
      <w:r w:rsidRPr="008F29D2">
        <w:rPr>
          <w:rFonts w:ascii="Arial" w:hAnsi="Arial" w:cs="Arial"/>
          <w:lang w:eastAsia="es-CR"/>
        </w:rPr>
        <w:t>a continuación:</w:t>
      </w:r>
    </w:p>
    <w:p w14:paraId="318AB4F0" w14:textId="77777777" w:rsidR="0096751E" w:rsidRDefault="0096751E" w:rsidP="0096751E">
      <w:pPr>
        <w:autoSpaceDE w:val="0"/>
        <w:autoSpaceDN w:val="0"/>
        <w:adjustRightInd w:val="0"/>
        <w:spacing w:after="0" w:line="240" w:lineRule="auto"/>
        <w:contextualSpacing/>
        <w:jc w:val="both"/>
        <w:rPr>
          <w:rFonts w:ascii="Arial" w:hAnsi="Arial" w:cs="Arial"/>
          <w:b/>
          <w:color w:val="44546A"/>
        </w:rPr>
      </w:pPr>
    </w:p>
    <w:p w14:paraId="214262C2" w14:textId="77777777" w:rsidR="0096751E" w:rsidRDefault="0096751E" w:rsidP="0096751E">
      <w:pPr>
        <w:autoSpaceDE w:val="0"/>
        <w:autoSpaceDN w:val="0"/>
        <w:adjustRightInd w:val="0"/>
        <w:spacing w:after="0" w:line="240" w:lineRule="auto"/>
        <w:contextualSpacing/>
        <w:jc w:val="center"/>
        <w:rPr>
          <w:rFonts w:ascii="Arial" w:hAnsi="Arial" w:cs="Arial"/>
          <w:b/>
          <w:color w:val="44546A"/>
        </w:rPr>
      </w:pPr>
    </w:p>
    <w:p w14:paraId="6E53746D" w14:textId="77777777" w:rsidR="0096751E" w:rsidRDefault="0096751E" w:rsidP="0096751E">
      <w:pPr>
        <w:autoSpaceDE w:val="0"/>
        <w:autoSpaceDN w:val="0"/>
        <w:adjustRightInd w:val="0"/>
        <w:spacing w:after="0" w:line="240" w:lineRule="auto"/>
        <w:contextualSpacing/>
        <w:jc w:val="center"/>
        <w:rPr>
          <w:rFonts w:ascii="Arial" w:hAnsi="Arial" w:cs="Arial"/>
          <w:b/>
          <w:color w:val="44546A"/>
        </w:rPr>
      </w:pPr>
    </w:p>
    <w:p w14:paraId="7FD32FA2" w14:textId="77777777" w:rsidR="003A5EEA" w:rsidRDefault="003A5EEA" w:rsidP="0096751E">
      <w:pPr>
        <w:autoSpaceDE w:val="0"/>
        <w:autoSpaceDN w:val="0"/>
        <w:adjustRightInd w:val="0"/>
        <w:spacing w:after="0" w:line="240" w:lineRule="auto"/>
        <w:contextualSpacing/>
        <w:jc w:val="center"/>
        <w:rPr>
          <w:rFonts w:ascii="Arial" w:hAnsi="Arial" w:cs="Arial"/>
          <w:b/>
          <w:color w:val="44546A"/>
        </w:rPr>
      </w:pPr>
    </w:p>
    <w:p w14:paraId="0B4B545B" w14:textId="55462A57" w:rsidR="008E6988" w:rsidRPr="00663C19" w:rsidRDefault="008E6988" w:rsidP="0096751E">
      <w:pPr>
        <w:autoSpaceDE w:val="0"/>
        <w:autoSpaceDN w:val="0"/>
        <w:adjustRightInd w:val="0"/>
        <w:spacing w:after="0" w:line="240" w:lineRule="auto"/>
        <w:contextualSpacing/>
        <w:jc w:val="center"/>
        <w:rPr>
          <w:rFonts w:ascii="Arial" w:hAnsi="Arial" w:cs="Arial"/>
          <w:b/>
          <w:color w:val="44546A"/>
        </w:rPr>
      </w:pPr>
      <w:r w:rsidRPr="00663C19">
        <w:rPr>
          <w:rFonts w:ascii="Arial" w:hAnsi="Arial" w:cs="Arial"/>
          <w:b/>
          <w:color w:val="44546A"/>
        </w:rPr>
        <w:t>Figura N°</w:t>
      </w:r>
      <w:r>
        <w:rPr>
          <w:rFonts w:ascii="Arial" w:hAnsi="Arial" w:cs="Arial"/>
          <w:b/>
          <w:color w:val="44546A"/>
        </w:rPr>
        <w:t>1</w:t>
      </w:r>
    </w:p>
    <w:p w14:paraId="7FCA7903" w14:textId="4604CCAC" w:rsidR="0094442E" w:rsidRDefault="008E6988" w:rsidP="008E6988">
      <w:pPr>
        <w:autoSpaceDE w:val="0"/>
        <w:autoSpaceDN w:val="0"/>
        <w:adjustRightInd w:val="0"/>
        <w:spacing w:after="0" w:line="240" w:lineRule="auto"/>
        <w:contextualSpacing/>
        <w:jc w:val="center"/>
        <w:rPr>
          <w:rFonts w:ascii="Arial" w:hAnsi="Arial" w:cs="Arial"/>
          <w:b/>
          <w:color w:val="44546A"/>
        </w:rPr>
      </w:pPr>
      <w:r w:rsidRPr="00663C19">
        <w:rPr>
          <w:rFonts w:ascii="Arial" w:hAnsi="Arial" w:cs="Arial"/>
          <w:b/>
          <w:color w:val="44546A"/>
        </w:rPr>
        <w:t>Etapas del Proceso de Contratación Administrativa</w:t>
      </w:r>
    </w:p>
    <w:p w14:paraId="412CBA00" w14:textId="77777777" w:rsidR="0096751E" w:rsidRPr="00663C19" w:rsidRDefault="0096751E" w:rsidP="008E6988">
      <w:pPr>
        <w:autoSpaceDE w:val="0"/>
        <w:autoSpaceDN w:val="0"/>
        <w:adjustRightInd w:val="0"/>
        <w:spacing w:after="0" w:line="240" w:lineRule="auto"/>
        <w:contextualSpacing/>
        <w:jc w:val="center"/>
        <w:rPr>
          <w:rFonts w:ascii="Arial" w:hAnsi="Arial" w:cs="Arial"/>
          <w:b/>
          <w:color w:val="44546A"/>
        </w:rPr>
      </w:pPr>
    </w:p>
    <w:p w14:paraId="04B37F08" w14:textId="77777777" w:rsidR="008E6988" w:rsidRDefault="008E6988" w:rsidP="008E6988">
      <w:pPr>
        <w:autoSpaceDE w:val="0"/>
        <w:autoSpaceDN w:val="0"/>
        <w:adjustRightInd w:val="0"/>
        <w:spacing w:after="0" w:line="240" w:lineRule="auto"/>
        <w:contextualSpacing/>
        <w:jc w:val="center"/>
        <w:rPr>
          <w:rFonts w:ascii="Arial" w:hAnsi="Arial" w:cs="Arial"/>
          <w:b/>
          <w:sz w:val="16"/>
          <w:szCs w:val="16"/>
        </w:rPr>
      </w:pPr>
      <w:r>
        <w:rPr>
          <w:noProof/>
        </w:rPr>
        <w:drawing>
          <wp:inline distT="0" distB="0" distL="0" distR="0" wp14:anchorId="76318345" wp14:editId="77D22E46">
            <wp:extent cx="5542877" cy="34671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6668" cy="3669633"/>
                    </a:xfrm>
                    <a:prstGeom prst="rect">
                      <a:avLst/>
                    </a:prstGeom>
                  </pic:spPr>
                </pic:pic>
              </a:graphicData>
            </a:graphic>
          </wp:inline>
        </w:drawing>
      </w:r>
    </w:p>
    <w:p w14:paraId="751CFCF1" w14:textId="77777777" w:rsidR="008E6988" w:rsidRDefault="008E6988" w:rsidP="008E6988">
      <w:pPr>
        <w:spacing w:after="0" w:line="240" w:lineRule="auto"/>
        <w:contextualSpacing/>
        <w:jc w:val="both"/>
        <w:rPr>
          <w:rFonts w:ascii="Arial" w:hAnsi="Arial" w:cs="Arial"/>
          <w:lang w:eastAsia="es-CR"/>
        </w:rPr>
      </w:pPr>
      <w:r w:rsidRPr="00525D05">
        <w:rPr>
          <w:rFonts w:ascii="Arial" w:hAnsi="Arial" w:cs="Arial"/>
          <w:b/>
          <w:sz w:val="18"/>
          <w:szCs w:val="18"/>
        </w:rPr>
        <w:t>Fuente:</w:t>
      </w:r>
      <w:r w:rsidRPr="00F5337B">
        <w:rPr>
          <w:rFonts w:ascii="Arial" w:hAnsi="Arial" w:cs="Arial"/>
          <w:sz w:val="18"/>
          <w:szCs w:val="18"/>
        </w:rPr>
        <w:t xml:space="preserve"> </w:t>
      </w:r>
      <w:r w:rsidRPr="00600B76">
        <w:rPr>
          <w:rFonts w:ascii="Arial" w:hAnsi="Arial" w:cs="Arial"/>
          <w:sz w:val="18"/>
          <w:szCs w:val="18"/>
        </w:rPr>
        <w:t>Elaboración propia a partir de</w:t>
      </w:r>
      <w:r w:rsidR="007A360D">
        <w:rPr>
          <w:rFonts w:ascii="Arial" w:hAnsi="Arial" w:cs="Arial"/>
          <w:sz w:val="18"/>
          <w:szCs w:val="18"/>
        </w:rPr>
        <w:t xml:space="preserve">l </w:t>
      </w:r>
      <w:r w:rsidR="007A360D" w:rsidRPr="007A360D">
        <w:rPr>
          <w:rFonts w:ascii="Arial" w:hAnsi="Arial" w:cs="Arial"/>
          <w:sz w:val="18"/>
          <w:szCs w:val="18"/>
        </w:rPr>
        <w:t>Reglamento de Contratación Administrativa.</w:t>
      </w:r>
    </w:p>
    <w:p w14:paraId="74209BBD" w14:textId="77777777" w:rsidR="008E6988" w:rsidRDefault="008E6988" w:rsidP="008E6988">
      <w:pPr>
        <w:autoSpaceDE w:val="0"/>
        <w:autoSpaceDN w:val="0"/>
        <w:adjustRightInd w:val="0"/>
        <w:spacing w:after="0" w:line="240" w:lineRule="auto"/>
        <w:contextualSpacing/>
        <w:jc w:val="both"/>
        <w:rPr>
          <w:rFonts w:ascii="Arial" w:hAnsi="Arial" w:cs="Arial"/>
          <w:sz w:val="18"/>
          <w:szCs w:val="18"/>
        </w:rPr>
      </w:pPr>
    </w:p>
    <w:p w14:paraId="75ED0760" w14:textId="77777777" w:rsidR="0096751E" w:rsidRDefault="0096751E" w:rsidP="00E64BA9">
      <w:pPr>
        <w:autoSpaceDE w:val="0"/>
        <w:autoSpaceDN w:val="0"/>
        <w:adjustRightInd w:val="0"/>
        <w:spacing w:after="0" w:line="240" w:lineRule="auto"/>
        <w:contextualSpacing/>
        <w:jc w:val="both"/>
        <w:rPr>
          <w:rFonts w:ascii="Arial" w:hAnsi="Arial" w:cs="Arial"/>
          <w:lang w:eastAsia="es-CR"/>
        </w:rPr>
      </w:pPr>
    </w:p>
    <w:p w14:paraId="7F5CF8ED" w14:textId="1A1D6D0B" w:rsidR="009502C1" w:rsidRPr="00663C19" w:rsidRDefault="00CD32B2" w:rsidP="00E64BA9">
      <w:pPr>
        <w:autoSpaceDE w:val="0"/>
        <w:autoSpaceDN w:val="0"/>
        <w:adjustRightInd w:val="0"/>
        <w:spacing w:after="0" w:line="240" w:lineRule="auto"/>
        <w:contextualSpacing/>
        <w:jc w:val="both"/>
        <w:rPr>
          <w:rFonts w:ascii="Arial" w:hAnsi="Arial" w:cs="Arial"/>
          <w:b/>
          <w:color w:val="44546A"/>
        </w:rPr>
      </w:pPr>
      <w:r w:rsidRPr="00190B2A">
        <w:rPr>
          <w:rFonts w:ascii="Arial" w:hAnsi="Arial" w:cs="Arial"/>
          <w:lang w:eastAsia="es-CR"/>
        </w:rPr>
        <w:t>Por otra parte</w:t>
      </w:r>
      <w:r w:rsidR="00DA7916" w:rsidRPr="00190B2A">
        <w:rPr>
          <w:rFonts w:ascii="Arial" w:hAnsi="Arial" w:cs="Arial"/>
          <w:lang w:eastAsia="es-CR"/>
        </w:rPr>
        <w:t xml:space="preserve">, </w:t>
      </w:r>
      <w:r w:rsidR="00C951F9" w:rsidRPr="00190B2A">
        <w:rPr>
          <w:rFonts w:ascii="Arial" w:hAnsi="Arial" w:cs="Arial"/>
          <w:lang w:eastAsia="es-CR"/>
        </w:rPr>
        <w:t xml:space="preserve">de </w:t>
      </w:r>
      <w:r w:rsidR="004758EE" w:rsidRPr="00190B2A">
        <w:rPr>
          <w:rFonts w:ascii="Arial" w:hAnsi="Arial" w:cs="Arial"/>
          <w:lang w:eastAsia="es-CR"/>
        </w:rPr>
        <w:t xml:space="preserve">acuerdo </w:t>
      </w:r>
      <w:r w:rsidR="00B17C78">
        <w:rPr>
          <w:rFonts w:ascii="Arial" w:hAnsi="Arial" w:cs="Arial"/>
          <w:lang w:eastAsia="es-CR"/>
        </w:rPr>
        <w:t>con</w:t>
      </w:r>
      <w:r w:rsidR="004758EE" w:rsidRPr="00190B2A">
        <w:rPr>
          <w:rFonts w:ascii="Arial" w:hAnsi="Arial" w:cs="Arial"/>
          <w:lang w:eastAsia="es-CR"/>
        </w:rPr>
        <w:t xml:space="preserve"> lo establecido en</w:t>
      </w:r>
      <w:r w:rsidR="00C951F9" w:rsidRPr="00190B2A">
        <w:rPr>
          <w:rFonts w:ascii="Arial" w:hAnsi="Arial" w:cs="Arial"/>
          <w:lang w:eastAsia="es-CR"/>
        </w:rPr>
        <w:t xml:space="preserve"> el Decreto N</w:t>
      </w:r>
      <w:r w:rsidR="00B17C78">
        <w:rPr>
          <w:rFonts w:ascii="Arial" w:hAnsi="Arial" w:cs="Arial"/>
          <w:lang w:eastAsia="es-CR"/>
        </w:rPr>
        <w:t>°</w:t>
      </w:r>
      <w:r w:rsidR="00C951F9" w:rsidRPr="00190B2A">
        <w:rPr>
          <w:rFonts w:ascii="Arial" w:hAnsi="Arial" w:cs="Arial"/>
          <w:lang w:eastAsia="es-CR"/>
        </w:rPr>
        <w:t xml:space="preserve">43057-H “Reglamento de Organización y funciones de la Oficialía Mayor y Dirección Administrativa y Financiera del Ministerio de Hacienda”, </w:t>
      </w:r>
      <w:bookmarkStart w:id="73" w:name="_Hlk106270237"/>
      <w:r w:rsidR="00B702A4" w:rsidRPr="00190B2A">
        <w:rPr>
          <w:rFonts w:ascii="Arial" w:hAnsi="Arial" w:cs="Arial"/>
          <w:lang w:eastAsia="es-CR"/>
        </w:rPr>
        <w:t>la</w:t>
      </w:r>
      <w:r w:rsidR="006660A7" w:rsidRPr="00190B2A">
        <w:rPr>
          <w:rFonts w:ascii="Arial" w:hAnsi="Arial" w:cs="Arial"/>
          <w:lang w:eastAsia="es-CR"/>
        </w:rPr>
        <w:t xml:space="preserve"> Proveeduría Institucional, es </w:t>
      </w:r>
      <w:r w:rsidR="009B3FDC" w:rsidRPr="00190B2A">
        <w:rPr>
          <w:rFonts w:ascii="Arial" w:hAnsi="Arial" w:cs="Arial"/>
          <w:lang w:eastAsia="es-CR"/>
        </w:rPr>
        <w:t>la</w:t>
      </w:r>
      <w:r w:rsidR="006660A7" w:rsidRPr="00190B2A">
        <w:rPr>
          <w:rFonts w:ascii="Arial" w:hAnsi="Arial" w:cs="Arial"/>
          <w:lang w:eastAsia="es-CR"/>
        </w:rPr>
        <w:t xml:space="preserve"> encargad</w:t>
      </w:r>
      <w:r w:rsidR="009B3FDC" w:rsidRPr="00190B2A">
        <w:rPr>
          <w:rFonts w:ascii="Arial" w:hAnsi="Arial" w:cs="Arial"/>
          <w:lang w:eastAsia="es-CR"/>
        </w:rPr>
        <w:t>a</w:t>
      </w:r>
      <w:r w:rsidR="006660A7" w:rsidRPr="00190B2A">
        <w:rPr>
          <w:rFonts w:ascii="Arial" w:hAnsi="Arial" w:cs="Arial"/>
          <w:lang w:eastAsia="es-CR"/>
        </w:rPr>
        <w:t xml:space="preserve"> de tramitar </w:t>
      </w:r>
      <w:bookmarkStart w:id="74" w:name="_Hlk106270145"/>
      <w:r w:rsidR="006660A7" w:rsidRPr="00190B2A">
        <w:rPr>
          <w:rFonts w:ascii="Arial" w:hAnsi="Arial" w:cs="Arial"/>
          <w:lang w:eastAsia="es-CR"/>
        </w:rPr>
        <w:t>todos los procedimientos de contratación administrativa para la adquisición de bienes y servicios que se requieran en el Ministerio de Hacienda</w:t>
      </w:r>
      <w:r w:rsidR="00E64BA9">
        <w:rPr>
          <w:rFonts w:ascii="Arial" w:hAnsi="Arial" w:cs="Arial"/>
          <w:lang w:eastAsia="es-CR"/>
        </w:rPr>
        <w:t>.</w:t>
      </w:r>
      <w:bookmarkEnd w:id="73"/>
    </w:p>
    <w:bookmarkEnd w:id="74"/>
    <w:p w14:paraId="2CC69E53" w14:textId="77777777" w:rsidR="009502C1" w:rsidRPr="00966C3B" w:rsidRDefault="009502C1" w:rsidP="009502C1">
      <w:pPr>
        <w:autoSpaceDE w:val="0"/>
        <w:autoSpaceDN w:val="0"/>
        <w:adjustRightInd w:val="0"/>
        <w:spacing w:after="0" w:line="240" w:lineRule="auto"/>
        <w:contextualSpacing/>
        <w:jc w:val="center"/>
        <w:rPr>
          <w:rFonts w:ascii="Arial" w:hAnsi="Arial" w:cs="Arial"/>
          <w:b/>
        </w:rPr>
      </w:pPr>
    </w:p>
    <w:p w14:paraId="5AB4A44D" w14:textId="7C862A54" w:rsidR="009B3FDC" w:rsidRDefault="009B3FDC" w:rsidP="0055757C">
      <w:pPr>
        <w:autoSpaceDE w:val="0"/>
        <w:autoSpaceDN w:val="0"/>
        <w:adjustRightInd w:val="0"/>
        <w:contextualSpacing/>
        <w:jc w:val="both"/>
        <w:rPr>
          <w:rFonts w:ascii="Arial" w:hAnsi="Arial" w:cs="Arial"/>
        </w:rPr>
      </w:pPr>
      <w:r>
        <w:rPr>
          <w:rFonts w:ascii="Arial" w:hAnsi="Arial" w:cs="Arial"/>
        </w:rPr>
        <w:t xml:space="preserve">Finalmente, </w:t>
      </w:r>
      <w:r w:rsidR="000471D0">
        <w:rPr>
          <w:rFonts w:ascii="Arial" w:hAnsi="Arial" w:cs="Arial"/>
        </w:rPr>
        <w:t xml:space="preserve">cabe indicar que </w:t>
      </w:r>
      <w:r>
        <w:rPr>
          <w:rFonts w:ascii="Arial" w:hAnsi="Arial" w:cs="Arial"/>
        </w:rPr>
        <w:t>d</w:t>
      </w:r>
      <w:r w:rsidRPr="009B3FDC">
        <w:rPr>
          <w:rFonts w:ascii="Arial" w:hAnsi="Arial" w:cs="Arial"/>
        </w:rPr>
        <w:t xml:space="preserve">e acuerdo con reportes del sistema </w:t>
      </w:r>
      <w:r>
        <w:rPr>
          <w:rFonts w:ascii="Arial" w:hAnsi="Arial" w:cs="Arial"/>
        </w:rPr>
        <w:t>SICOP</w:t>
      </w:r>
      <w:r w:rsidRPr="0068607C">
        <w:rPr>
          <w:rStyle w:val="Refdenotaalpie"/>
          <w:rFonts w:ascii="Arial" w:hAnsi="Arial" w:cs="Arial"/>
        </w:rPr>
        <w:footnoteReference w:id="6"/>
      </w:r>
      <w:r w:rsidRPr="009B3FDC">
        <w:rPr>
          <w:rFonts w:ascii="Arial" w:hAnsi="Arial" w:cs="Arial"/>
        </w:rPr>
        <w:t>, en el año 20</w:t>
      </w:r>
      <w:r>
        <w:rPr>
          <w:rFonts w:ascii="Arial" w:hAnsi="Arial" w:cs="Arial"/>
        </w:rPr>
        <w:t>20 y 2021</w:t>
      </w:r>
      <w:r w:rsidRPr="009B3FDC">
        <w:rPr>
          <w:rFonts w:ascii="Arial" w:hAnsi="Arial" w:cs="Arial"/>
        </w:rPr>
        <w:t xml:space="preserve"> el Ministerio</w:t>
      </w:r>
      <w:r w:rsidRPr="003A587F">
        <w:rPr>
          <w:rFonts w:ascii="Arial" w:hAnsi="Arial" w:cs="Arial"/>
        </w:rPr>
        <w:t xml:space="preserve"> </w:t>
      </w:r>
      <w:r w:rsidR="000471D0" w:rsidRPr="003A587F">
        <w:rPr>
          <w:rFonts w:ascii="Arial" w:hAnsi="Arial" w:cs="Arial"/>
        </w:rPr>
        <w:t xml:space="preserve">de Hacienda </w:t>
      </w:r>
      <w:r w:rsidRPr="009B3FDC">
        <w:rPr>
          <w:rFonts w:ascii="Arial" w:hAnsi="Arial" w:cs="Arial"/>
        </w:rPr>
        <w:t xml:space="preserve">realizó </w:t>
      </w:r>
      <w:r w:rsidR="00F5568D">
        <w:rPr>
          <w:rFonts w:ascii="Arial" w:hAnsi="Arial" w:cs="Arial"/>
        </w:rPr>
        <w:t>206</w:t>
      </w:r>
      <w:r w:rsidRPr="009B3FDC">
        <w:rPr>
          <w:rFonts w:ascii="Arial" w:hAnsi="Arial" w:cs="Arial"/>
        </w:rPr>
        <w:t xml:space="preserve"> </w:t>
      </w:r>
      <w:r w:rsidRPr="009B3FDC">
        <w:rPr>
          <w:rFonts w:ascii="Arial" w:hAnsi="Arial" w:cs="Arial"/>
          <w:lang w:eastAsia="es-CR"/>
        </w:rPr>
        <w:t>procedimientos</w:t>
      </w:r>
      <w:r w:rsidR="00A1480F">
        <w:rPr>
          <w:rFonts w:ascii="Arial" w:hAnsi="Arial" w:cs="Arial"/>
          <w:lang w:eastAsia="es-CR"/>
        </w:rPr>
        <w:t xml:space="preserve"> como se muestra en el gráfico</w:t>
      </w:r>
      <w:r w:rsidR="00E64BA9">
        <w:rPr>
          <w:rFonts w:ascii="Arial" w:hAnsi="Arial" w:cs="Arial"/>
          <w:lang w:eastAsia="es-CR"/>
        </w:rPr>
        <w:t xml:space="preserve"> </w:t>
      </w:r>
      <w:r w:rsidR="00A1480F">
        <w:rPr>
          <w:rFonts w:ascii="Arial" w:hAnsi="Arial" w:cs="Arial"/>
          <w:lang w:eastAsia="es-CR"/>
        </w:rPr>
        <w:t>N°1; lo anterior, por</w:t>
      </w:r>
      <w:r w:rsidR="00A22812">
        <w:rPr>
          <w:rFonts w:ascii="Arial" w:hAnsi="Arial" w:cs="Arial"/>
          <w:lang w:eastAsia="es-CR"/>
        </w:rPr>
        <w:t xml:space="preserve"> un monto aproximado de compras adjudicadas de</w:t>
      </w:r>
      <w:r w:rsidR="00A1480F" w:rsidRPr="00A1480F">
        <w:rPr>
          <w:rFonts w:ascii="Arial" w:hAnsi="Arial" w:cs="Arial"/>
          <w:lang w:eastAsia="es-CR"/>
        </w:rPr>
        <w:t xml:space="preserve"> </w:t>
      </w:r>
      <w:r w:rsidR="00A1480F" w:rsidRPr="00403A07">
        <w:rPr>
          <w:rFonts w:ascii="Arial" w:hAnsi="Arial" w:cs="Arial"/>
          <w:lang w:eastAsia="es-CR"/>
        </w:rPr>
        <w:t>₡</w:t>
      </w:r>
      <w:r w:rsidR="00A1480F" w:rsidRPr="00E64BA9">
        <w:rPr>
          <w:rFonts w:ascii="Arial" w:hAnsi="Arial" w:cs="Arial"/>
          <w:lang w:eastAsia="es-CR"/>
        </w:rPr>
        <w:t>17.401.237</w:t>
      </w:r>
      <w:r w:rsidR="009502C1" w:rsidRPr="00E64BA9">
        <w:rPr>
          <w:rFonts w:ascii="Arial" w:hAnsi="Arial" w:cs="Arial"/>
          <w:lang w:eastAsia="es-CR"/>
        </w:rPr>
        <w:t>.</w:t>
      </w:r>
      <w:r w:rsidR="00A1480F" w:rsidRPr="00E64BA9">
        <w:rPr>
          <w:rFonts w:ascii="Arial" w:hAnsi="Arial" w:cs="Arial"/>
          <w:lang w:eastAsia="es-CR"/>
        </w:rPr>
        <w:t>975,41</w:t>
      </w:r>
      <w:r w:rsidR="000471D0" w:rsidRPr="00E64BA9">
        <w:rPr>
          <w:rFonts w:ascii="Arial" w:hAnsi="Arial" w:cs="Arial"/>
          <w:lang w:eastAsia="es-CR"/>
        </w:rPr>
        <w:t>, razón</w:t>
      </w:r>
      <w:r w:rsidR="000471D0">
        <w:rPr>
          <w:rFonts w:ascii="Arial" w:hAnsi="Arial" w:cs="Arial"/>
          <w:lang w:eastAsia="es-CR"/>
        </w:rPr>
        <w:t xml:space="preserve"> por la cual y </w:t>
      </w:r>
      <w:r w:rsidR="000471D0" w:rsidRPr="002C3B87">
        <w:rPr>
          <w:rFonts w:ascii="Arial" w:hAnsi="Arial" w:cs="Arial"/>
          <w:lang w:eastAsia="es-CR"/>
        </w:rPr>
        <w:t xml:space="preserve">siendo que uno de los procesos sustantivos de la </w:t>
      </w:r>
      <w:r w:rsidR="00105E4B" w:rsidRPr="00105E4B">
        <w:rPr>
          <w:rFonts w:ascii="Arial" w:hAnsi="Arial" w:cs="Arial"/>
          <w:lang w:eastAsia="es-CR"/>
        </w:rPr>
        <w:t>Oficialía Mayor y Dirección Administrativa y Financiera</w:t>
      </w:r>
      <w:r w:rsidR="000471D0" w:rsidRPr="002C3B87">
        <w:rPr>
          <w:rFonts w:ascii="Arial" w:hAnsi="Arial" w:cs="Arial"/>
          <w:lang w:eastAsia="es-CR"/>
        </w:rPr>
        <w:t>, corresponde a la Adquisición de Bienes y Servicios, el papel de la Proveeduría Institucional, cobra tal relevancia</w:t>
      </w:r>
      <w:r w:rsidR="000471D0">
        <w:rPr>
          <w:rFonts w:ascii="Arial" w:hAnsi="Arial" w:cs="Arial"/>
          <w:lang w:eastAsia="es-CR"/>
        </w:rPr>
        <w:t xml:space="preserve"> en la </w:t>
      </w:r>
      <w:r w:rsidR="000471D0" w:rsidRPr="009B3FDC">
        <w:rPr>
          <w:rFonts w:ascii="Arial" w:hAnsi="Arial" w:cs="Arial"/>
          <w:lang w:eastAsia="es-CR"/>
        </w:rPr>
        <w:t>efectiva y oportuna gestión de los procesos de adquisiciones del</w:t>
      </w:r>
      <w:r w:rsidR="000471D0">
        <w:rPr>
          <w:rFonts w:ascii="Arial" w:hAnsi="Arial" w:cs="Arial"/>
          <w:lang w:eastAsia="es-CR"/>
        </w:rPr>
        <w:t xml:space="preserve"> ministerio. </w:t>
      </w:r>
      <w:r w:rsidR="000471D0">
        <w:rPr>
          <w:rFonts w:ascii="Arial" w:hAnsi="Arial" w:cs="Arial"/>
        </w:rPr>
        <w:t xml:space="preserve"> </w:t>
      </w:r>
    </w:p>
    <w:p w14:paraId="0350799D" w14:textId="7EBB7EC8" w:rsidR="00484749" w:rsidRDefault="00484749">
      <w:pPr>
        <w:rPr>
          <w:rFonts w:ascii="Arial" w:hAnsi="Arial" w:cs="Arial"/>
        </w:rPr>
      </w:pPr>
      <w:r>
        <w:rPr>
          <w:rFonts w:ascii="Arial" w:hAnsi="Arial" w:cs="Arial"/>
        </w:rPr>
        <w:br w:type="page"/>
      </w:r>
    </w:p>
    <w:p w14:paraId="415636EE" w14:textId="77777777" w:rsidR="003B1D6A" w:rsidRPr="00ED6BA8" w:rsidRDefault="00F5568D" w:rsidP="0035326F">
      <w:pPr>
        <w:spacing w:line="240" w:lineRule="auto"/>
        <w:ind w:left="567" w:right="708"/>
        <w:contextualSpacing/>
        <w:jc w:val="center"/>
        <w:rPr>
          <w:rFonts w:ascii="Arial" w:eastAsia="Times New Roman" w:hAnsi="Arial" w:cs="Arial"/>
          <w:b/>
          <w:color w:val="44546A" w:themeColor="text2"/>
          <w:lang w:eastAsia="es-CR"/>
        </w:rPr>
      </w:pPr>
      <w:r>
        <w:rPr>
          <w:rFonts w:ascii="Arial" w:eastAsia="Times New Roman" w:hAnsi="Arial" w:cs="Arial"/>
          <w:b/>
          <w:color w:val="44546A" w:themeColor="text2"/>
          <w:lang w:eastAsia="es-CR"/>
        </w:rPr>
        <w:lastRenderedPageBreak/>
        <w:t>Gráfico</w:t>
      </w:r>
      <w:r w:rsidR="003B1D6A" w:rsidRPr="00ED6BA8">
        <w:rPr>
          <w:rFonts w:ascii="Arial" w:eastAsia="Times New Roman" w:hAnsi="Arial" w:cs="Arial"/>
          <w:b/>
          <w:color w:val="44546A" w:themeColor="text2"/>
          <w:lang w:eastAsia="es-CR"/>
        </w:rPr>
        <w:t xml:space="preserve"> Nº</w:t>
      </w:r>
      <w:r w:rsidR="003B1D6A">
        <w:rPr>
          <w:rFonts w:ascii="Arial" w:eastAsia="Times New Roman" w:hAnsi="Arial" w:cs="Arial"/>
          <w:b/>
          <w:color w:val="44546A" w:themeColor="text2"/>
          <w:lang w:eastAsia="es-CR"/>
        </w:rPr>
        <w:t>1</w:t>
      </w:r>
    </w:p>
    <w:p w14:paraId="23861976" w14:textId="77777777" w:rsidR="003B1D6A" w:rsidRDefault="003B1D6A" w:rsidP="0035326F">
      <w:pPr>
        <w:spacing w:line="240" w:lineRule="auto"/>
        <w:ind w:left="567" w:right="708"/>
        <w:contextualSpacing/>
        <w:jc w:val="center"/>
        <w:rPr>
          <w:rFonts w:ascii="Arial" w:eastAsia="Times New Roman" w:hAnsi="Arial" w:cs="Arial"/>
          <w:b/>
          <w:color w:val="44546A" w:themeColor="text2"/>
          <w:lang w:eastAsia="es-CR"/>
        </w:rPr>
      </w:pPr>
      <w:r w:rsidRPr="003B1D6A">
        <w:rPr>
          <w:rFonts w:ascii="Arial" w:eastAsia="Times New Roman" w:hAnsi="Arial" w:cs="Arial"/>
          <w:b/>
          <w:color w:val="44546A" w:themeColor="text2"/>
          <w:lang w:eastAsia="es-CR"/>
        </w:rPr>
        <w:t>Tipos de procesos electrónicos por</w:t>
      </w:r>
      <w:r w:rsidR="00B500AD">
        <w:rPr>
          <w:rFonts w:ascii="Arial" w:eastAsia="Times New Roman" w:hAnsi="Arial" w:cs="Arial"/>
          <w:b/>
          <w:color w:val="44546A" w:themeColor="text2"/>
          <w:lang w:eastAsia="es-CR"/>
        </w:rPr>
        <w:t xml:space="preserve"> periodo</w:t>
      </w:r>
    </w:p>
    <w:p w14:paraId="6A8B9BE8" w14:textId="77777777" w:rsidR="00966C3B" w:rsidRDefault="00966C3B" w:rsidP="0035326F">
      <w:pPr>
        <w:spacing w:line="240" w:lineRule="auto"/>
        <w:ind w:left="567" w:right="708"/>
        <w:contextualSpacing/>
        <w:jc w:val="center"/>
        <w:rPr>
          <w:rFonts w:ascii="Arial" w:eastAsia="Times New Roman" w:hAnsi="Arial" w:cs="Arial"/>
          <w:b/>
          <w:color w:val="44546A" w:themeColor="text2"/>
          <w:lang w:eastAsia="es-CR"/>
        </w:rPr>
      </w:pPr>
    </w:p>
    <w:p w14:paraId="08E8FD89" w14:textId="77777777" w:rsidR="00F5568D" w:rsidRDefault="000471D0" w:rsidP="003B1D6A">
      <w:pPr>
        <w:spacing w:line="276" w:lineRule="auto"/>
        <w:ind w:left="567" w:right="708"/>
        <w:contextualSpacing/>
        <w:jc w:val="center"/>
        <w:rPr>
          <w:rFonts w:ascii="Arial" w:eastAsia="Times New Roman" w:hAnsi="Arial" w:cs="Arial"/>
          <w:b/>
          <w:color w:val="44546A" w:themeColor="text2"/>
          <w:lang w:eastAsia="es-CR"/>
        </w:rPr>
      </w:pPr>
      <w:r w:rsidRPr="0096751E">
        <w:rPr>
          <w:noProof/>
          <w:sz w:val="16"/>
          <w:szCs w:val="16"/>
        </w:rPr>
        <w:drawing>
          <wp:inline distT="0" distB="0" distL="0" distR="0" wp14:anchorId="33FAD3E6" wp14:editId="72398325">
            <wp:extent cx="5619750" cy="2597150"/>
            <wp:effectExtent l="0" t="0" r="0" b="12700"/>
            <wp:docPr id="12" name="Gráfico 12">
              <a:extLst xmlns:a="http://schemas.openxmlformats.org/drawingml/2006/main">
                <a:ext uri="{FF2B5EF4-FFF2-40B4-BE49-F238E27FC236}">
                  <a16:creationId xmlns:a16="http://schemas.microsoft.com/office/drawing/2014/main" id="{33AABB22-1074-454A-8706-94AA6220EC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53139C" w14:textId="77777777" w:rsidR="00B500AD" w:rsidRDefault="00B500AD" w:rsidP="008163F0">
      <w:pPr>
        <w:pStyle w:val="Textosinformato"/>
        <w:spacing w:line="276" w:lineRule="auto"/>
        <w:ind w:left="567"/>
        <w:jc w:val="both"/>
        <w:rPr>
          <w:rFonts w:ascii="Arial" w:eastAsia="Times New Roman" w:hAnsi="Arial" w:cs="Arial"/>
          <w:color w:val="000000"/>
          <w:sz w:val="18"/>
          <w:szCs w:val="18"/>
          <w:lang w:val="es-ES_tradnl" w:eastAsia="es-CR"/>
        </w:rPr>
      </w:pPr>
      <w:r w:rsidRPr="00955F74">
        <w:rPr>
          <w:rFonts w:ascii="Arial" w:eastAsia="Times New Roman" w:hAnsi="Arial" w:cs="Arial"/>
          <w:b/>
          <w:sz w:val="18"/>
          <w:szCs w:val="18"/>
          <w:lang w:val="es-ES_tradnl" w:eastAsia="es-CR"/>
        </w:rPr>
        <w:t xml:space="preserve">Fuente: </w:t>
      </w:r>
      <w:r w:rsidRPr="00955F74">
        <w:rPr>
          <w:rFonts w:ascii="Arial" w:eastAsia="Times New Roman" w:hAnsi="Arial" w:cs="Arial"/>
          <w:color w:val="000000"/>
          <w:sz w:val="18"/>
          <w:szCs w:val="18"/>
          <w:lang w:val="es-ES_tradnl" w:eastAsia="es-CR"/>
        </w:rPr>
        <w:t xml:space="preserve">Elaboración propia a partir de la información contenida en el Sistema Integrado de Compras Públicas </w:t>
      </w:r>
      <w:r>
        <w:rPr>
          <w:rFonts w:ascii="Arial" w:eastAsia="Times New Roman" w:hAnsi="Arial" w:cs="Arial"/>
          <w:color w:val="000000"/>
          <w:sz w:val="18"/>
          <w:szCs w:val="18"/>
          <w:lang w:val="es-ES_tradnl" w:eastAsia="es-CR"/>
        </w:rPr>
        <w:t>(</w:t>
      </w:r>
      <w:r w:rsidRPr="00955F74">
        <w:rPr>
          <w:rFonts w:ascii="Arial" w:eastAsia="Times New Roman" w:hAnsi="Arial" w:cs="Arial"/>
          <w:color w:val="000000"/>
          <w:sz w:val="18"/>
          <w:szCs w:val="18"/>
          <w:lang w:val="es-ES_tradnl" w:eastAsia="es-CR"/>
        </w:rPr>
        <w:t>SICOP)</w:t>
      </w:r>
      <w:r w:rsidRPr="00BD1D22">
        <w:rPr>
          <w:rFonts w:ascii="Arial" w:eastAsia="Times New Roman" w:hAnsi="Arial" w:cs="Arial"/>
          <w:color w:val="000000"/>
          <w:sz w:val="18"/>
          <w:szCs w:val="18"/>
          <w:lang w:val="es-ES_tradnl" w:eastAsia="es-CR"/>
        </w:rPr>
        <w:t>.</w:t>
      </w:r>
    </w:p>
    <w:p w14:paraId="64EA603F" w14:textId="77777777" w:rsidR="0094442E" w:rsidRPr="00BD1D22" w:rsidRDefault="0094442E" w:rsidP="00484749">
      <w:pPr>
        <w:pStyle w:val="Textosinformato"/>
        <w:spacing w:line="276" w:lineRule="auto"/>
        <w:jc w:val="both"/>
        <w:rPr>
          <w:rFonts w:ascii="Arial" w:hAnsi="Arial" w:cs="Arial"/>
          <w:sz w:val="18"/>
          <w:szCs w:val="18"/>
        </w:rPr>
      </w:pPr>
    </w:p>
    <w:p w14:paraId="64DD9BD1" w14:textId="77777777" w:rsidR="007A4F9E" w:rsidRDefault="0055222A" w:rsidP="00BD5A52">
      <w:pPr>
        <w:pStyle w:val="Ttulo1"/>
        <w:keepNext w:val="0"/>
        <w:keepLines w:val="0"/>
        <w:numPr>
          <w:ilvl w:val="0"/>
          <w:numId w:val="19"/>
        </w:numPr>
        <w:spacing w:before="0" w:after="0" w:line="0" w:lineRule="atLeast"/>
        <w:ind w:left="576" w:right="51" w:hanging="576"/>
        <w:contextualSpacing/>
        <w:jc w:val="both"/>
        <w:rPr>
          <w:rFonts w:ascii="Arial" w:hAnsi="Arial" w:cs="Arial"/>
          <w:b/>
          <w:bCs/>
          <w:color w:val="44546A" w:themeColor="text2"/>
          <w:kern w:val="28"/>
          <w:sz w:val="28"/>
          <w:szCs w:val="28"/>
          <w:lang w:eastAsia="es-ES"/>
        </w:rPr>
      </w:pPr>
      <w:bookmarkStart w:id="75" w:name="_Toc390783329"/>
      <w:bookmarkStart w:id="76" w:name="_Toc108431897"/>
      <w:r w:rsidRPr="007A4F9E">
        <w:rPr>
          <w:rFonts w:ascii="Arial" w:hAnsi="Arial" w:cs="Arial"/>
          <w:b/>
          <w:bCs/>
          <w:color w:val="44546A" w:themeColor="text2"/>
          <w:kern w:val="28"/>
          <w:sz w:val="28"/>
          <w:szCs w:val="28"/>
          <w:lang w:eastAsia="es-ES"/>
        </w:rPr>
        <w:t>RESULTADOS</w:t>
      </w:r>
      <w:bookmarkStart w:id="77" w:name="_Hlk87436709"/>
      <w:bookmarkStart w:id="78" w:name="_Toc390783332"/>
      <w:bookmarkEnd w:id="75"/>
      <w:bookmarkEnd w:id="76"/>
    </w:p>
    <w:p w14:paraId="255E6EF0" w14:textId="77777777" w:rsidR="0094442E" w:rsidRPr="00A43158" w:rsidRDefault="0094442E" w:rsidP="00BD5A52">
      <w:pPr>
        <w:spacing w:after="0" w:line="0" w:lineRule="atLeast"/>
        <w:rPr>
          <w:lang w:eastAsia="es-ES"/>
        </w:rPr>
      </w:pPr>
    </w:p>
    <w:p w14:paraId="7B16C219" w14:textId="4E292FF8" w:rsidR="00DA7916" w:rsidRDefault="00A43158" w:rsidP="00DA7916">
      <w:pPr>
        <w:pStyle w:val="Ttulo1"/>
        <w:keepNext w:val="0"/>
        <w:keepLines w:val="0"/>
        <w:numPr>
          <w:ilvl w:val="1"/>
          <w:numId w:val="19"/>
        </w:numPr>
        <w:spacing w:before="0" w:after="0"/>
        <w:ind w:left="567" w:right="51" w:hanging="567"/>
        <w:contextualSpacing/>
        <w:jc w:val="both"/>
        <w:rPr>
          <w:rFonts w:ascii="Arial" w:eastAsiaTheme="minorHAnsi" w:hAnsi="Arial" w:cs="Arial"/>
          <w:b/>
          <w:color w:val="44546A" w:themeColor="text2"/>
          <w:sz w:val="24"/>
          <w:szCs w:val="24"/>
          <w:lang w:val="es-ES_tradnl" w:eastAsia="es-ES"/>
        </w:rPr>
      </w:pPr>
      <w:bookmarkStart w:id="79" w:name="_Toc108431898"/>
      <w:bookmarkStart w:id="80" w:name="_Hlk89871108"/>
      <w:bookmarkEnd w:id="77"/>
      <w:r w:rsidRPr="004E15AA">
        <w:rPr>
          <w:rFonts w:ascii="Arial" w:hAnsi="Arial" w:cs="Arial"/>
          <w:b/>
          <w:color w:val="44546A" w:themeColor="text2"/>
          <w:sz w:val="24"/>
          <w:szCs w:val="24"/>
          <w:lang w:val="es-ES_tradnl" w:eastAsia="es-ES"/>
        </w:rPr>
        <w:t xml:space="preserve">Sobre </w:t>
      </w:r>
      <w:r w:rsidR="00DA7916" w:rsidRPr="000B2152">
        <w:rPr>
          <w:rFonts w:ascii="Arial" w:eastAsiaTheme="minorHAnsi" w:hAnsi="Arial" w:cs="Arial"/>
          <w:b/>
          <w:color w:val="44546A" w:themeColor="text2"/>
          <w:sz w:val="24"/>
          <w:szCs w:val="24"/>
          <w:lang w:val="es-ES_tradnl" w:eastAsia="es-ES"/>
        </w:rPr>
        <w:t>la aplicación de los controles establecidos en el proceso de contratación administrativa</w:t>
      </w:r>
      <w:bookmarkEnd w:id="79"/>
    </w:p>
    <w:p w14:paraId="2C0B164B" w14:textId="77777777" w:rsidR="0094442E" w:rsidRDefault="0094442E" w:rsidP="00CF4FB9">
      <w:pPr>
        <w:pStyle w:val="Sinespaciado"/>
        <w:rPr>
          <w:lang w:val="es-ES_tradnl" w:eastAsia="es-ES"/>
        </w:rPr>
      </w:pPr>
    </w:p>
    <w:p w14:paraId="18D9A2B9" w14:textId="1D221643" w:rsidR="005A16F5" w:rsidRDefault="005A16F5" w:rsidP="005A16F5">
      <w:pPr>
        <w:pStyle w:val="Ttulo1"/>
        <w:keepNext w:val="0"/>
        <w:keepLines w:val="0"/>
        <w:numPr>
          <w:ilvl w:val="2"/>
          <w:numId w:val="19"/>
        </w:numPr>
        <w:spacing w:before="0" w:after="0"/>
        <w:ind w:right="51"/>
        <w:contextualSpacing/>
        <w:jc w:val="both"/>
        <w:rPr>
          <w:rFonts w:ascii="Arial" w:eastAsiaTheme="minorHAnsi" w:hAnsi="Arial" w:cs="Arial"/>
          <w:b/>
          <w:color w:val="44546A" w:themeColor="text2"/>
          <w:sz w:val="24"/>
          <w:szCs w:val="24"/>
          <w:lang w:val="es-ES_tradnl" w:eastAsia="es-ES"/>
        </w:rPr>
      </w:pPr>
      <w:bookmarkStart w:id="81" w:name="_Toc108431899"/>
      <w:r>
        <w:rPr>
          <w:rFonts w:ascii="Arial" w:eastAsiaTheme="minorHAnsi" w:hAnsi="Arial" w:cs="Arial"/>
          <w:b/>
          <w:color w:val="44546A" w:themeColor="text2"/>
          <w:sz w:val="24"/>
          <w:szCs w:val="24"/>
          <w:lang w:val="es-ES_tradnl" w:eastAsia="es-ES"/>
        </w:rPr>
        <w:t xml:space="preserve">Ausencia de </w:t>
      </w:r>
      <w:r w:rsidR="005132A7">
        <w:rPr>
          <w:rFonts w:ascii="Arial" w:eastAsiaTheme="minorHAnsi" w:hAnsi="Arial" w:cs="Arial"/>
          <w:b/>
          <w:color w:val="44546A" w:themeColor="text2"/>
          <w:sz w:val="24"/>
          <w:szCs w:val="24"/>
          <w:lang w:val="es-ES_tradnl" w:eastAsia="es-ES"/>
        </w:rPr>
        <w:t>cronogramas</w:t>
      </w:r>
      <w:bookmarkEnd w:id="81"/>
    </w:p>
    <w:p w14:paraId="704450CC" w14:textId="77777777" w:rsidR="00D71AA8" w:rsidRDefault="00D71AA8" w:rsidP="005A16F5">
      <w:pPr>
        <w:spacing w:after="0" w:line="240" w:lineRule="auto"/>
        <w:contextualSpacing/>
        <w:jc w:val="both"/>
        <w:rPr>
          <w:rFonts w:ascii="Arial" w:hAnsi="Arial" w:cs="Arial"/>
        </w:rPr>
      </w:pPr>
    </w:p>
    <w:p w14:paraId="07DC87CA" w14:textId="77777777" w:rsidR="00DA7916" w:rsidRPr="00CF4FB9" w:rsidRDefault="00DA7916" w:rsidP="005A16F5">
      <w:pPr>
        <w:spacing w:after="0" w:line="240" w:lineRule="auto"/>
        <w:contextualSpacing/>
        <w:jc w:val="both"/>
        <w:rPr>
          <w:rFonts w:ascii="Arial" w:hAnsi="Arial" w:cs="Arial"/>
        </w:rPr>
      </w:pPr>
      <w:r w:rsidRPr="00CF4FB9">
        <w:rPr>
          <w:rFonts w:ascii="Arial" w:hAnsi="Arial" w:cs="Arial"/>
        </w:rPr>
        <w:t>La Ley N°7494 “Ley de Contratación Administrativa” en su Artículo 7, Inicio del procedimiento, señala:</w:t>
      </w:r>
    </w:p>
    <w:p w14:paraId="32521697" w14:textId="77777777" w:rsidR="00DA7916" w:rsidRDefault="00DA7916" w:rsidP="005A16F5">
      <w:pPr>
        <w:spacing w:after="0" w:line="240" w:lineRule="auto"/>
        <w:contextualSpacing/>
        <w:jc w:val="both"/>
        <w:rPr>
          <w:rFonts w:ascii="Arial" w:hAnsi="Arial" w:cs="Arial"/>
          <w:i/>
        </w:rPr>
      </w:pPr>
    </w:p>
    <w:p w14:paraId="12398044" w14:textId="77777777" w:rsidR="00DA7916" w:rsidRPr="0089464D" w:rsidRDefault="00DA7916" w:rsidP="005A16F5">
      <w:pPr>
        <w:spacing w:after="0" w:line="240" w:lineRule="auto"/>
        <w:ind w:left="708" w:right="709"/>
        <w:contextualSpacing/>
        <w:jc w:val="both"/>
        <w:rPr>
          <w:rFonts w:ascii="Arial" w:hAnsi="Arial" w:cs="Arial"/>
          <w:i/>
        </w:rPr>
      </w:pPr>
      <w:r w:rsidRPr="009E04BB">
        <w:rPr>
          <w:rFonts w:ascii="Arial" w:hAnsi="Arial" w:cs="Arial"/>
          <w:i/>
        </w:rPr>
        <w:t>“//…//Esta decisión encabezará el expediente que se forme y contendrá una justificación de su procedencia…//así como el cronograma con las tareas y los responsables de su ejecución. //… deberá estar acorde con lo establecido en los planes de largo y mediano plazos, el Plan Nacional de Desarrollo, cuando sea aplicable, el plan anual operativo, el presupuesto y el programa de adquisición</w:t>
      </w:r>
      <w:r w:rsidRPr="00485B26">
        <w:rPr>
          <w:rFonts w:ascii="Arial" w:hAnsi="Arial" w:cs="Arial"/>
          <w:i/>
        </w:rPr>
        <w:t>.</w:t>
      </w:r>
      <w:r w:rsidRPr="0089464D">
        <w:rPr>
          <w:rFonts w:ascii="Arial" w:hAnsi="Arial" w:cs="Arial"/>
          <w:i/>
        </w:rPr>
        <w:t xml:space="preserve">” </w:t>
      </w:r>
    </w:p>
    <w:p w14:paraId="42FA6946" w14:textId="77777777" w:rsidR="00DA7916" w:rsidRPr="0089464D" w:rsidRDefault="00DA7916" w:rsidP="005A16F5">
      <w:pPr>
        <w:spacing w:after="0" w:line="240" w:lineRule="auto"/>
        <w:contextualSpacing/>
        <w:jc w:val="both"/>
        <w:rPr>
          <w:rFonts w:ascii="Arial" w:hAnsi="Arial" w:cs="Arial"/>
          <w:b/>
        </w:rPr>
      </w:pPr>
    </w:p>
    <w:p w14:paraId="1F15D7A4" w14:textId="5EAA5562" w:rsidR="00661E06" w:rsidRDefault="00661E06" w:rsidP="00571D81">
      <w:pPr>
        <w:spacing w:after="0"/>
        <w:contextualSpacing/>
        <w:jc w:val="both"/>
        <w:rPr>
          <w:rFonts w:ascii="Arial" w:hAnsi="Arial" w:cs="Arial"/>
        </w:rPr>
      </w:pPr>
      <w:r>
        <w:rPr>
          <w:rFonts w:ascii="Arial" w:hAnsi="Arial" w:cs="Arial"/>
        </w:rPr>
        <w:t>Asimismo, e</w:t>
      </w:r>
      <w:r w:rsidRPr="00661E06">
        <w:rPr>
          <w:rFonts w:ascii="Arial" w:hAnsi="Arial" w:cs="Arial"/>
        </w:rPr>
        <w:t xml:space="preserve">l Reglamento a la Ley de Contratación Administrativa, en el </w:t>
      </w:r>
      <w:r>
        <w:rPr>
          <w:rFonts w:ascii="Arial" w:hAnsi="Arial" w:cs="Arial"/>
        </w:rPr>
        <w:t>A</w:t>
      </w:r>
      <w:r w:rsidRPr="00661E06">
        <w:rPr>
          <w:rFonts w:ascii="Arial" w:hAnsi="Arial" w:cs="Arial"/>
        </w:rPr>
        <w:t>rtículo 1</w:t>
      </w:r>
      <w:r>
        <w:rPr>
          <w:rFonts w:ascii="Arial" w:hAnsi="Arial" w:cs="Arial"/>
        </w:rPr>
        <w:t>0</w:t>
      </w:r>
      <w:r w:rsidRPr="00661E06">
        <w:rPr>
          <w:rFonts w:ascii="Arial" w:hAnsi="Arial" w:cs="Arial"/>
        </w:rPr>
        <w:t>, indica</w:t>
      </w:r>
      <w:r w:rsidR="00C86400">
        <w:rPr>
          <w:rFonts w:ascii="Arial" w:hAnsi="Arial" w:cs="Arial"/>
        </w:rPr>
        <w:t>:</w:t>
      </w:r>
    </w:p>
    <w:p w14:paraId="720FD8BA" w14:textId="77777777" w:rsidR="00661E06" w:rsidRDefault="00661E06" w:rsidP="00571D81">
      <w:pPr>
        <w:spacing w:after="0"/>
        <w:contextualSpacing/>
        <w:jc w:val="both"/>
        <w:rPr>
          <w:rFonts w:ascii="Arial" w:hAnsi="Arial" w:cs="Arial"/>
        </w:rPr>
      </w:pPr>
    </w:p>
    <w:p w14:paraId="2CA3F883" w14:textId="67B9A258" w:rsidR="00661E06" w:rsidRPr="0089464D" w:rsidRDefault="00661E06" w:rsidP="00661E06">
      <w:pPr>
        <w:spacing w:after="0" w:line="240" w:lineRule="auto"/>
        <w:ind w:left="708" w:right="709"/>
        <w:contextualSpacing/>
        <w:jc w:val="both"/>
        <w:rPr>
          <w:rFonts w:ascii="Arial" w:hAnsi="Arial" w:cs="Arial"/>
          <w:i/>
        </w:rPr>
      </w:pPr>
      <w:r w:rsidRPr="009E04BB">
        <w:rPr>
          <w:rFonts w:ascii="Arial" w:hAnsi="Arial" w:cs="Arial"/>
          <w:i/>
        </w:rPr>
        <w:t>“//…//</w:t>
      </w:r>
      <w:r w:rsidRPr="00661E06">
        <w:rPr>
          <w:rFonts w:ascii="Arial" w:hAnsi="Arial" w:cs="Arial"/>
          <w:i/>
        </w:rPr>
        <w:t>Una vez adoptada la decisión inicial y cumplidos los requisitos previos, se trasladará a la Proveeduría Institucional quien conducirá el procedimiento de contratación administrativa</w:t>
      </w:r>
      <w:r w:rsidR="00336FF6">
        <w:rPr>
          <w:rFonts w:ascii="Arial" w:hAnsi="Arial" w:cs="Arial"/>
          <w:i/>
        </w:rPr>
        <w:t>…</w:t>
      </w:r>
      <w:r w:rsidRPr="009E04BB">
        <w:rPr>
          <w:rFonts w:ascii="Arial" w:hAnsi="Arial" w:cs="Arial"/>
          <w:i/>
        </w:rPr>
        <w:t>//…</w:t>
      </w:r>
      <w:r w:rsidRPr="00661E06">
        <w:rPr>
          <w:rFonts w:ascii="Arial" w:hAnsi="Arial" w:cs="Arial"/>
          <w:i/>
        </w:rPr>
        <w:t xml:space="preserve">Establecer los controles necesarios para cumplir con el cronograma estándar de las tareas y plazos máximos previamente definidos por ésta; para los diferentes </w:t>
      </w:r>
      <w:r w:rsidRPr="00661E06">
        <w:rPr>
          <w:rFonts w:ascii="Arial" w:hAnsi="Arial" w:cs="Arial"/>
          <w:i/>
        </w:rPr>
        <w:lastRenderedPageBreak/>
        <w:t>procedimientos concursales y de excepción a los procedimientos ordinarios de contratación.</w:t>
      </w:r>
      <w:r>
        <w:rPr>
          <w:rFonts w:ascii="Arial" w:hAnsi="Arial" w:cs="Arial"/>
          <w:i/>
        </w:rPr>
        <w:t>.</w:t>
      </w:r>
      <w:r w:rsidRPr="00485B26">
        <w:rPr>
          <w:rFonts w:ascii="Arial" w:hAnsi="Arial" w:cs="Arial"/>
          <w:i/>
        </w:rPr>
        <w:t>.</w:t>
      </w:r>
      <w:r w:rsidRPr="0089464D">
        <w:rPr>
          <w:rFonts w:ascii="Arial" w:hAnsi="Arial" w:cs="Arial"/>
          <w:i/>
        </w:rPr>
        <w:t>”</w:t>
      </w:r>
      <w:r w:rsidR="00336FF6">
        <w:rPr>
          <w:rFonts w:ascii="Arial" w:hAnsi="Arial" w:cs="Arial"/>
          <w:i/>
        </w:rPr>
        <w:t>.</w:t>
      </w:r>
    </w:p>
    <w:p w14:paraId="730338E1" w14:textId="77777777" w:rsidR="00661E06" w:rsidRDefault="00661E06" w:rsidP="00571D81">
      <w:pPr>
        <w:spacing w:after="0"/>
        <w:contextualSpacing/>
        <w:jc w:val="both"/>
        <w:rPr>
          <w:rFonts w:ascii="Arial" w:hAnsi="Arial" w:cs="Arial"/>
        </w:rPr>
      </w:pPr>
    </w:p>
    <w:p w14:paraId="1BA58197" w14:textId="64FA57B2" w:rsidR="00683634" w:rsidRPr="00E64BA9" w:rsidRDefault="006B2372" w:rsidP="00571D81">
      <w:pPr>
        <w:spacing w:after="0"/>
        <w:contextualSpacing/>
        <w:jc w:val="both"/>
        <w:rPr>
          <w:rFonts w:ascii="Arial" w:hAnsi="Arial" w:cs="Arial"/>
        </w:rPr>
      </w:pPr>
      <w:r w:rsidRPr="00E64BA9">
        <w:rPr>
          <w:rFonts w:ascii="Arial" w:hAnsi="Arial" w:cs="Arial"/>
        </w:rPr>
        <w:t xml:space="preserve">En la decisión inicial </w:t>
      </w:r>
      <w:r w:rsidR="00683634" w:rsidRPr="00E64BA9">
        <w:rPr>
          <w:rFonts w:ascii="Arial" w:hAnsi="Arial" w:cs="Arial"/>
        </w:rPr>
        <w:t>d</w:t>
      </w:r>
      <w:r w:rsidRPr="00E64BA9">
        <w:rPr>
          <w:rFonts w:ascii="Arial" w:hAnsi="Arial" w:cs="Arial"/>
        </w:rPr>
        <w:t xml:space="preserve">e ocho procesos se omitió </w:t>
      </w:r>
      <w:r w:rsidR="00683634" w:rsidRPr="00E64BA9">
        <w:rPr>
          <w:rFonts w:ascii="Arial" w:hAnsi="Arial" w:cs="Arial"/>
        </w:rPr>
        <w:t xml:space="preserve">el </w:t>
      </w:r>
      <w:bookmarkStart w:id="82" w:name="_Hlk105154038"/>
      <w:r w:rsidR="00D71AA8" w:rsidRPr="00E64BA9">
        <w:rPr>
          <w:rFonts w:ascii="Arial" w:hAnsi="Arial" w:cs="Arial"/>
        </w:rPr>
        <w:t>cronograma con las tareas y los responsables de su ejecución</w:t>
      </w:r>
      <w:bookmarkEnd w:id="82"/>
      <w:r w:rsidR="00A62D36" w:rsidRPr="00E64BA9">
        <w:rPr>
          <w:rFonts w:ascii="Arial" w:hAnsi="Arial" w:cs="Arial"/>
        </w:rPr>
        <w:t xml:space="preserve">, tal como puede observarse en el </w:t>
      </w:r>
      <w:r w:rsidR="00A62D36" w:rsidRPr="007525CD">
        <w:rPr>
          <w:rFonts w:ascii="Arial" w:hAnsi="Arial" w:cs="Arial"/>
        </w:rPr>
        <w:t>Anexo N°2</w:t>
      </w:r>
      <w:r w:rsidR="00386525" w:rsidRPr="007525CD">
        <w:rPr>
          <w:rFonts w:ascii="Arial" w:hAnsi="Arial" w:cs="Arial"/>
        </w:rPr>
        <w:t>.</w:t>
      </w:r>
    </w:p>
    <w:p w14:paraId="37694B8F" w14:textId="65D6376F" w:rsidR="00683634" w:rsidRDefault="00683634" w:rsidP="00571D81">
      <w:pPr>
        <w:spacing w:after="0"/>
        <w:contextualSpacing/>
        <w:jc w:val="both"/>
        <w:rPr>
          <w:rFonts w:ascii="Arial" w:hAnsi="Arial" w:cs="Arial"/>
        </w:rPr>
      </w:pPr>
    </w:p>
    <w:p w14:paraId="5D846E49" w14:textId="254E73FC" w:rsidR="0089462C" w:rsidRPr="004714C2" w:rsidRDefault="00386525" w:rsidP="00571D81">
      <w:pPr>
        <w:spacing w:after="0"/>
        <w:contextualSpacing/>
        <w:jc w:val="both"/>
        <w:rPr>
          <w:rFonts w:ascii="Arial" w:hAnsi="Arial" w:cs="Arial"/>
        </w:rPr>
      </w:pPr>
      <w:r w:rsidRPr="00E64BA9">
        <w:rPr>
          <w:rFonts w:ascii="Arial" w:hAnsi="Arial" w:cs="Arial"/>
        </w:rPr>
        <w:t>E</w:t>
      </w:r>
      <w:r w:rsidR="00FA5A1D" w:rsidRPr="00E64BA9">
        <w:rPr>
          <w:rFonts w:ascii="Arial" w:hAnsi="Arial" w:cs="Arial"/>
        </w:rPr>
        <w:t xml:space="preserve">sta </w:t>
      </w:r>
      <w:r w:rsidR="0089462C" w:rsidRPr="00E64BA9">
        <w:rPr>
          <w:rFonts w:ascii="Arial" w:hAnsi="Arial" w:cs="Arial"/>
        </w:rPr>
        <w:t xml:space="preserve">debilidad </w:t>
      </w:r>
      <w:r w:rsidR="00FA5A1D" w:rsidRPr="00E64BA9">
        <w:rPr>
          <w:rFonts w:ascii="Arial" w:hAnsi="Arial" w:cs="Arial"/>
        </w:rPr>
        <w:t xml:space="preserve">fue </w:t>
      </w:r>
      <w:r w:rsidRPr="00E64BA9">
        <w:rPr>
          <w:rFonts w:ascii="Arial" w:hAnsi="Arial" w:cs="Arial"/>
        </w:rPr>
        <w:t>señalada</w:t>
      </w:r>
      <w:r w:rsidR="0089462C" w:rsidRPr="00E64BA9">
        <w:rPr>
          <w:rFonts w:ascii="Arial" w:hAnsi="Arial" w:cs="Arial"/>
        </w:rPr>
        <w:t xml:space="preserve"> </w:t>
      </w:r>
      <w:r w:rsidR="00CB72A1">
        <w:rPr>
          <w:rFonts w:ascii="Arial" w:hAnsi="Arial" w:cs="Arial"/>
        </w:rPr>
        <w:t xml:space="preserve">anteriormente </w:t>
      </w:r>
      <w:r w:rsidR="0089462C" w:rsidRPr="00E64BA9">
        <w:rPr>
          <w:rFonts w:ascii="Arial" w:hAnsi="Arial" w:cs="Arial"/>
        </w:rPr>
        <w:t>por la Contraloría General de República</w:t>
      </w:r>
      <w:r w:rsidR="00CB72A1">
        <w:rPr>
          <w:rFonts w:ascii="Arial" w:hAnsi="Arial" w:cs="Arial"/>
        </w:rPr>
        <w:t xml:space="preserve"> en el informe</w:t>
      </w:r>
      <w:r w:rsidR="00901B06">
        <w:rPr>
          <w:rFonts w:ascii="Arial" w:hAnsi="Arial" w:cs="Arial"/>
        </w:rPr>
        <w:t xml:space="preserve"> </w:t>
      </w:r>
      <w:r w:rsidR="00901B06" w:rsidRPr="00E64BA9">
        <w:rPr>
          <w:rFonts w:ascii="Arial" w:hAnsi="Arial" w:cs="Arial"/>
        </w:rPr>
        <w:t>DFOE-SAF-IF-22-2016</w:t>
      </w:r>
      <w:r w:rsidR="00901B06" w:rsidRPr="00E64BA9">
        <w:rPr>
          <w:rStyle w:val="Refdenotaalpie"/>
          <w:rFonts w:ascii="Arial" w:hAnsi="Arial" w:cs="Arial"/>
        </w:rPr>
        <w:footnoteReference w:id="7"/>
      </w:r>
      <w:r w:rsidR="00CB72A1">
        <w:rPr>
          <w:rFonts w:ascii="Arial" w:hAnsi="Arial" w:cs="Arial"/>
        </w:rPr>
        <w:t xml:space="preserve"> del </w:t>
      </w:r>
      <w:r w:rsidR="00901B06" w:rsidRPr="00901B06">
        <w:rPr>
          <w:rFonts w:ascii="Arial" w:hAnsi="Arial" w:cs="Arial"/>
        </w:rPr>
        <w:t>21 de diciembre</w:t>
      </w:r>
      <w:r w:rsidR="00901B06">
        <w:rPr>
          <w:rFonts w:ascii="Arial" w:hAnsi="Arial" w:cs="Arial"/>
        </w:rPr>
        <w:t xml:space="preserve"> del</w:t>
      </w:r>
      <w:r w:rsidR="00901B06" w:rsidRPr="00901B06">
        <w:rPr>
          <w:rFonts w:ascii="Arial" w:hAnsi="Arial" w:cs="Arial"/>
        </w:rPr>
        <w:t xml:space="preserve"> 2016</w:t>
      </w:r>
      <w:r w:rsidR="00FA5A1D" w:rsidRPr="00E64BA9">
        <w:rPr>
          <w:rFonts w:ascii="Arial" w:hAnsi="Arial" w:cs="Arial"/>
        </w:rPr>
        <w:t>,</w:t>
      </w:r>
      <w:r w:rsidR="0089462C" w:rsidRPr="00E64BA9">
        <w:rPr>
          <w:rFonts w:ascii="Arial" w:hAnsi="Arial" w:cs="Arial"/>
        </w:rPr>
        <w:t xml:space="preserve"> </w:t>
      </w:r>
      <w:r w:rsidRPr="00E64BA9">
        <w:rPr>
          <w:rFonts w:ascii="Arial" w:hAnsi="Arial" w:cs="Arial"/>
        </w:rPr>
        <w:t>por lo que, a fin de atender la disposición del Órgano Contralor</w:t>
      </w:r>
      <w:r w:rsidR="0089462C" w:rsidRPr="00E64BA9">
        <w:rPr>
          <w:rFonts w:ascii="Arial" w:hAnsi="Arial" w:cs="Arial"/>
        </w:rPr>
        <w:t>, la Proveeduría Institucional emitió la Circula PI-AG-11-17</w:t>
      </w:r>
      <w:r w:rsidR="0089462C" w:rsidRPr="00E64BA9">
        <w:rPr>
          <w:rStyle w:val="Refdenotaalpie"/>
          <w:rFonts w:ascii="Arial" w:hAnsi="Arial" w:cs="Arial"/>
        </w:rPr>
        <w:footnoteReference w:id="8"/>
      </w:r>
      <w:r w:rsidR="002D4753" w:rsidRPr="00E64BA9">
        <w:rPr>
          <w:rFonts w:ascii="Arial" w:hAnsi="Arial" w:cs="Arial"/>
        </w:rPr>
        <w:t>, la cual refiere entre otros aspectos que el cronograma es confeccionado en la Unidad de Programación y Control</w:t>
      </w:r>
      <w:r w:rsidR="00E64BA9" w:rsidRPr="00E64BA9">
        <w:rPr>
          <w:rFonts w:ascii="Arial" w:hAnsi="Arial" w:cs="Arial"/>
        </w:rPr>
        <w:t xml:space="preserve">, al tipo de contratación que se trate, </w:t>
      </w:r>
      <w:r w:rsidR="00CB72A1">
        <w:rPr>
          <w:rFonts w:ascii="Arial" w:hAnsi="Arial" w:cs="Arial"/>
        </w:rPr>
        <w:t>el cual</w:t>
      </w:r>
      <w:r w:rsidR="00E64BA9" w:rsidRPr="00E64BA9">
        <w:rPr>
          <w:rFonts w:ascii="Arial" w:hAnsi="Arial" w:cs="Arial"/>
        </w:rPr>
        <w:t xml:space="preserve"> debe adjuntar al correo de </w:t>
      </w:r>
      <w:r w:rsidR="00901B06" w:rsidRPr="00E64BA9">
        <w:rPr>
          <w:rFonts w:ascii="Arial" w:hAnsi="Arial" w:cs="Arial"/>
        </w:rPr>
        <w:t>enví</w:t>
      </w:r>
      <w:r w:rsidR="00901B06">
        <w:rPr>
          <w:rFonts w:ascii="Arial" w:hAnsi="Arial" w:cs="Arial"/>
        </w:rPr>
        <w:t>o</w:t>
      </w:r>
      <w:r w:rsidR="00E64BA9" w:rsidRPr="00E64BA9">
        <w:rPr>
          <w:rFonts w:ascii="Arial" w:hAnsi="Arial" w:cs="Arial"/>
        </w:rPr>
        <w:t xml:space="preserve"> de la solicitud de contratación a las coordinadoras de la Unidad de Contrataciones para su asignación, con copia a la Gestora que corresponda</w:t>
      </w:r>
      <w:r w:rsidR="00E64BA9">
        <w:rPr>
          <w:rFonts w:ascii="Arial" w:hAnsi="Arial" w:cs="Arial"/>
        </w:rPr>
        <w:t xml:space="preserve">; asimismo, </w:t>
      </w:r>
      <w:r w:rsidR="003134D1">
        <w:rPr>
          <w:rFonts w:ascii="Arial" w:hAnsi="Arial" w:cs="Arial"/>
        </w:rPr>
        <w:t xml:space="preserve">emitió </w:t>
      </w:r>
      <w:r w:rsidR="00CB72A1">
        <w:rPr>
          <w:rFonts w:ascii="Arial" w:hAnsi="Arial" w:cs="Arial"/>
        </w:rPr>
        <w:t xml:space="preserve">la </w:t>
      </w:r>
      <w:r w:rsidR="002330DC">
        <w:rPr>
          <w:rFonts w:ascii="Arial" w:hAnsi="Arial" w:cs="Arial"/>
        </w:rPr>
        <w:t xml:space="preserve">Circular </w:t>
      </w:r>
      <w:r w:rsidR="0089462C" w:rsidRPr="004714C2">
        <w:rPr>
          <w:rFonts w:ascii="Arial" w:hAnsi="Arial" w:cs="Arial"/>
        </w:rPr>
        <w:t>PI-AG-012-2020</w:t>
      </w:r>
      <w:r w:rsidR="002330DC">
        <w:rPr>
          <w:rFonts w:ascii="Arial" w:hAnsi="Arial" w:cs="Arial"/>
        </w:rPr>
        <w:t xml:space="preserve">, </w:t>
      </w:r>
      <w:r w:rsidR="0026217D">
        <w:rPr>
          <w:rFonts w:ascii="Arial" w:hAnsi="Arial" w:cs="Arial"/>
        </w:rPr>
        <w:t>referente a los p</w:t>
      </w:r>
      <w:r w:rsidR="0026217D" w:rsidRPr="0026217D">
        <w:rPr>
          <w:rFonts w:ascii="Arial" w:hAnsi="Arial" w:cs="Arial"/>
        </w:rPr>
        <w:t>lazos para realizar cada etapa de los procedimientos de contratación administrativa</w:t>
      </w:r>
      <w:r w:rsidR="00615B87">
        <w:rPr>
          <w:rFonts w:ascii="Arial" w:hAnsi="Arial" w:cs="Arial"/>
        </w:rPr>
        <w:t>.</w:t>
      </w:r>
    </w:p>
    <w:p w14:paraId="412A413B" w14:textId="77777777" w:rsidR="0089462C" w:rsidRPr="004714C2" w:rsidRDefault="0089462C" w:rsidP="0094442E">
      <w:pPr>
        <w:pStyle w:val="Sinespaciado"/>
      </w:pPr>
    </w:p>
    <w:p w14:paraId="0D153B3F" w14:textId="17BFC1F3" w:rsidR="0089462C" w:rsidRPr="004714C2" w:rsidRDefault="0089462C" w:rsidP="00CF040E">
      <w:pPr>
        <w:spacing w:after="0" w:line="240" w:lineRule="auto"/>
        <w:contextualSpacing/>
        <w:jc w:val="both"/>
        <w:rPr>
          <w:rFonts w:ascii="Arial" w:hAnsi="Arial" w:cs="Arial"/>
        </w:rPr>
      </w:pPr>
      <w:r w:rsidRPr="004714C2">
        <w:rPr>
          <w:rFonts w:ascii="Arial" w:hAnsi="Arial" w:cs="Arial"/>
          <w:lang w:eastAsia="es-CR"/>
        </w:rPr>
        <w:t xml:space="preserve">Esta condición obedece a que </w:t>
      </w:r>
      <w:r w:rsidRPr="004714C2">
        <w:rPr>
          <w:rFonts w:ascii="Arial" w:hAnsi="Arial" w:cs="Arial"/>
        </w:rPr>
        <w:t xml:space="preserve">la Proveeduría Institucional no dispone de una metodología de supervisión para asegurar </w:t>
      </w:r>
      <w:r w:rsidR="00061EDC">
        <w:rPr>
          <w:rFonts w:ascii="Arial" w:hAnsi="Arial" w:cs="Arial"/>
        </w:rPr>
        <w:t xml:space="preserve">razonablemente </w:t>
      </w:r>
      <w:r w:rsidRPr="004714C2">
        <w:rPr>
          <w:rFonts w:ascii="Arial" w:hAnsi="Arial" w:cs="Arial"/>
        </w:rPr>
        <w:t>el cumplimiento de los mecanismos</w:t>
      </w:r>
      <w:r w:rsidR="00386525" w:rsidRPr="004714C2">
        <w:rPr>
          <w:rFonts w:ascii="Arial" w:hAnsi="Arial" w:cs="Arial"/>
        </w:rPr>
        <w:t xml:space="preserve"> de</w:t>
      </w:r>
      <w:r w:rsidRPr="004714C2">
        <w:rPr>
          <w:rFonts w:ascii="Arial" w:hAnsi="Arial" w:cs="Arial"/>
        </w:rPr>
        <w:t xml:space="preserve"> control establecidos para el proceso </w:t>
      </w:r>
      <w:r w:rsidRPr="008F69A1">
        <w:rPr>
          <w:rFonts w:ascii="Arial" w:hAnsi="Arial" w:cs="Arial"/>
        </w:rPr>
        <w:t>de contratación administrativa</w:t>
      </w:r>
      <w:r w:rsidR="00E62FAB">
        <w:rPr>
          <w:rFonts w:ascii="Arial" w:hAnsi="Arial" w:cs="Arial"/>
        </w:rPr>
        <w:t>.</w:t>
      </w:r>
      <w:r w:rsidR="00254D22">
        <w:rPr>
          <w:rFonts w:ascii="Arial" w:hAnsi="Arial" w:cs="Arial"/>
        </w:rPr>
        <w:t xml:space="preserve"> </w:t>
      </w:r>
    </w:p>
    <w:p w14:paraId="028E85F4" w14:textId="160E0AAF" w:rsidR="003A2CD9" w:rsidRDefault="003A2CD9" w:rsidP="005A16F5">
      <w:pPr>
        <w:spacing w:after="0"/>
        <w:contextualSpacing/>
        <w:jc w:val="both"/>
        <w:rPr>
          <w:rFonts w:ascii="Arial" w:hAnsi="Arial" w:cs="Arial"/>
        </w:rPr>
      </w:pPr>
    </w:p>
    <w:p w14:paraId="03A8F609" w14:textId="7E26DA9E" w:rsidR="0094442E" w:rsidRPr="004714C2" w:rsidRDefault="005C06A6" w:rsidP="005A16F5">
      <w:pPr>
        <w:spacing w:after="0"/>
        <w:contextualSpacing/>
        <w:jc w:val="both"/>
        <w:rPr>
          <w:rFonts w:ascii="Arial" w:hAnsi="Arial" w:cs="Arial"/>
        </w:rPr>
      </w:pPr>
      <w:r w:rsidRPr="004714C2">
        <w:rPr>
          <w:rFonts w:ascii="Arial" w:hAnsi="Arial" w:cs="Arial"/>
        </w:rPr>
        <w:t xml:space="preserve">La ausencia del cronograma, </w:t>
      </w:r>
      <w:r w:rsidRPr="003134D1">
        <w:rPr>
          <w:rFonts w:ascii="Arial" w:hAnsi="Arial" w:cs="Arial"/>
        </w:rPr>
        <w:t>p</w:t>
      </w:r>
      <w:r>
        <w:rPr>
          <w:rFonts w:ascii="Arial" w:hAnsi="Arial" w:cs="Arial"/>
        </w:rPr>
        <w:t xml:space="preserve">odría ocasionar </w:t>
      </w:r>
      <w:r w:rsidRPr="003134D1">
        <w:rPr>
          <w:rFonts w:ascii="Arial" w:hAnsi="Arial" w:cs="Arial"/>
        </w:rPr>
        <w:t>que la Administración</w:t>
      </w:r>
      <w:r>
        <w:rPr>
          <w:rFonts w:ascii="Arial" w:hAnsi="Arial" w:cs="Arial"/>
        </w:rPr>
        <w:t xml:space="preserve"> Activa</w:t>
      </w:r>
      <w:r w:rsidRPr="003134D1">
        <w:rPr>
          <w:rFonts w:ascii="Arial" w:hAnsi="Arial" w:cs="Arial"/>
        </w:rPr>
        <w:t xml:space="preserve"> incurra en un incumplimiento </w:t>
      </w:r>
      <w:r w:rsidR="00C3421B" w:rsidRPr="003134D1">
        <w:rPr>
          <w:rFonts w:ascii="Arial" w:hAnsi="Arial" w:cs="Arial"/>
        </w:rPr>
        <w:t>normativo</w:t>
      </w:r>
      <w:r w:rsidR="00C3421B">
        <w:rPr>
          <w:rFonts w:ascii="Arial" w:hAnsi="Arial" w:cs="Arial"/>
        </w:rPr>
        <w:t>,</w:t>
      </w:r>
      <w:r w:rsidRPr="003134D1">
        <w:rPr>
          <w:rFonts w:ascii="Arial" w:hAnsi="Arial" w:cs="Arial"/>
        </w:rPr>
        <w:t xml:space="preserve"> a su vez</w:t>
      </w:r>
      <w:r>
        <w:rPr>
          <w:rFonts w:ascii="Arial" w:hAnsi="Arial" w:cs="Arial"/>
        </w:rPr>
        <w:t>,</w:t>
      </w:r>
      <w:r w:rsidRPr="003134D1">
        <w:rPr>
          <w:rFonts w:ascii="Arial" w:hAnsi="Arial" w:cs="Arial"/>
        </w:rPr>
        <w:t xml:space="preserve"> </w:t>
      </w:r>
      <w:r>
        <w:rPr>
          <w:rFonts w:ascii="Arial" w:hAnsi="Arial" w:cs="Arial"/>
        </w:rPr>
        <w:t xml:space="preserve">representa una </w:t>
      </w:r>
      <w:r w:rsidRPr="003134D1">
        <w:rPr>
          <w:rFonts w:ascii="Arial" w:hAnsi="Arial" w:cs="Arial"/>
        </w:rPr>
        <w:t>limita</w:t>
      </w:r>
      <w:r>
        <w:rPr>
          <w:rFonts w:ascii="Arial" w:hAnsi="Arial" w:cs="Arial"/>
        </w:rPr>
        <w:t>ción</w:t>
      </w:r>
      <w:r w:rsidRPr="003134D1">
        <w:rPr>
          <w:rFonts w:ascii="Arial" w:hAnsi="Arial" w:cs="Arial"/>
        </w:rPr>
        <w:t xml:space="preserve"> en cuanto a contar con un elemento de control y cuantificación de la ejecución de todo el proceso de contratación</w:t>
      </w:r>
      <w:r>
        <w:rPr>
          <w:rFonts w:ascii="Arial" w:hAnsi="Arial" w:cs="Arial"/>
        </w:rPr>
        <w:t>, para todas las partes participantes</w:t>
      </w:r>
      <w:r w:rsidRPr="0019048C">
        <w:rPr>
          <w:rFonts w:ascii="Arial" w:hAnsi="Arial" w:cs="Arial"/>
        </w:rPr>
        <w:t>.</w:t>
      </w:r>
      <w:r w:rsidRPr="0019048C">
        <w:rPr>
          <w:rFonts w:ascii="Arial" w:hAnsi="Arial" w:cs="Arial"/>
        </w:rPr>
        <w:cr/>
      </w:r>
    </w:p>
    <w:p w14:paraId="42B8DF78" w14:textId="77777777" w:rsidR="005A16F5" w:rsidRDefault="0089462C" w:rsidP="00C921DB">
      <w:pPr>
        <w:pStyle w:val="Ttulo1"/>
        <w:keepNext w:val="0"/>
        <w:keepLines w:val="0"/>
        <w:numPr>
          <w:ilvl w:val="2"/>
          <w:numId w:val="19"/>
        </w:numPr>
        <w:spacing w:before="0" w:after="0"/>
        <w:ind w:right="51"/>
        <w:contextualSpacing/>
        <w:jc w:val="both"/>
        <w:rPr>
          <w:rFonts w:ascii="Arial" w:eastAsiaTheme="minorHAnsi" w:hAnsi="Arial" w:cs="Arial"/>
          <w:b/>
          <w:color w:val="44546A" w:themeColor="text2"/>
          <w:sz w:val="24"/>
          <w:szCs w:val="24"/>
          <w:lang w:val="es-ES_tradnl" w:eastAsia="es-ES"/>
        </w:rPr>
      </w:pPr>
      <w:bookmarkStart w:id="83" w:name="_Toc108431900"/>
      <w:r w:rsidRPr="00DE6C07">
        <w:rPr>
          <w:rFonts w:ascii="Arial" w:eastAsiaTheme="minorHAnsi" w:hAnsi="Arial" w:cs="Arial"/>
          <w:b/>
          <w:color w:val="44546A" w:themeColor="text2"/>
          <w:sz w:val="24"/>
          <w:szCs w:val="24"/>
          <w:lang w:val="es-ES_tradnl" w:eastAsia="es-ES"/>
        </w:rPr>
        <w:t>Ausencia de la</w:t>
      </w:r>
      <w:r w:rsidR="00DE6C07" w:rsidRPr="00DE6C07">
        <w:rPr>
          <w:rFonts w:ascii="Arial" w:eastAsiaTheme="minorHAnsi" w:hAnsi="Arial" w:cs="Arial"/>
          <w:b/>
          <w:color w:val="44546A" w:themeColor="text2"/>
          <w:sz w:val="24"/>
          <w:szCs w:val="24"/>
          <w:lang w:val="es-ES_tradnl" w:eastAsia="es-ES"/>
        </w:rPr>
        <w:t xml:space="preserve"> </w:t>
      </w:r>
      <w:bookmarkStart w:id="84" w:name="_Hlk105154105"/>
      <w:r w:rsidR="005132A7">
        <w:rPr>
          <w:rFonts w:ascii="Arial" w:eastAsiaTheme="minorHAnsi" w:hAnsi="Arial" w:cs="Arial"/>
          <w:b/>
          <w:color w:val="44546A" w:themeColor="text2"/>
          <w:sz w:val="24"/>
          <w:szCs w:val="24"/>
          <w:lang w:val="es-ES_tradnl" w:eastAsia="es-ES"/>
        </w:rPr>
        <w:t>b</w:t>
      </w:r>
      <w:r w:rsidR="005132A7" w:rsidRPr="00DE6C07">
        <w:rPr>
          <w:rFonts w:ascii="Arial" w:eastAsiaTheme="minorHAnsi" w:hAnsi="Arial" w:cs="Arial"/>
          <w:b/>
          <w:color w:val="44546A" w:themeColor="text2"/>
          <w:sz w:val="24"/>
          <w:szCs w:val="24"/>
          <w:lang w:val="es-ES_tradnl" w:eastAsia="es-ES"/>
        </w:rPr>
        <w:t xml:space="preserve">itácora </w:t>
      </w:r>
      <w:r w:rsidR="00DE6C07" w:rsidRPr="00DE6C07">
        <w:rPr>
          <w:rFonts w:ascii="Arial" w:eastAsiaTheme="minorHAnsi" w:hAnsi="Arial" w:cs="Arial"/>
          <w:b/>
          <w:color w:val="44546A" w:themeColor="text2"/>
          <w:sz w:val="24"/>
          <w:szCs w:val="24"/>
          <w:lang w:val="es-ES_tradnl" w:eastAsia="es-ES"/>
        </w:rPr>
        <w:t xml:space="preserve">y </w:t>
      </w:r>
      <w:r w:rsidR="005132A7">
        <w:rPr>
          <w:rFonts w:ascii="Arial" w:eastAsiaTheme="minorHAnsi" w:hAnsi="Arial" w:cs="Arial"/>
          <w:b/>
          <w:color w:val="44546A" w:themeColor="text2"/>
          <w:sz w:val="24"/>
          <w:szCs w:val="24"/>
          <w:lang w:val="es-ES_tradnl" w:eastAsia="es-ES"/>
        </w:rPr>
        <w:t>l</w:t>
      </w:r>
      <w:r w:rsidR="005132A7" w:rsidRPr="00DE6C07">
        <w:rPr>
          <w:rFonts w:ascii="Arial" w:eastAsiaTheme="minorHAnsi" w:hAnsi="Arial" w:cs="Arial"/>
          <w:b/>
          <w:color w:val="44546A" w:themeColor="text2"/>
          <w:sz w:val="24"/>
          <w:szCs w:val="24"/>
          <w:lang w:val="es-ES_tradnl" w:eastAsia="es-ES"/>
        </w:rPr>
        <w:t xml:space="preserve">ista </w:t>
      </w:r>
      <w:r w:rsidR="00DE6C07" w:rsidRPr="00DE6C07">
        <w:rPr>
          <w:rFonts w:ascii="Arial" w:eastAsiaTheme="minorHAnsi" w:hAnsi="Arial" w:cs="Arial"/>
          <w:b/>
          <w:color w:val="44546A" w:themeColor="text2"/>
          <w:sz w:val="24"/>
          <w:szCs w:val="24"/>
          <w:lang w:val="es-ES_tradnl" w:eastAsia="es-ES"/>
        </w:rPr>
        <w:t>de verificación</w:t>
      </w:r>
      <w:bookmarkEnd w:id="84"/>
      <w:r w:rsidR="00DE6C07">
        <w:rPr>
          <w:rFonts w:ascii="Arial" w:eastAsiaTheme="minorHAnsi" w:hAnsi="Arial" w:cs="Arial"/>
          <w:b/>
          <w:color w:val="44546A" w:themeColor="text2"/>
          <w:sz w:val="24"/>
          <w:szCs w:val="24"/>
          <w:lang w:val="es-ES_tradnl" w:eastAsia="es-ES"/>
        </w:rPr>
        <w:t>.</w:t>
      </w:r>
      <w:bookmarkEnd w:id="83"/>
    </w:p>
    <w:p w14:paraId="4961C720" w14:textId="77777777" w:rsidR="004432F7" w:rsidRPr="004432F7" w:rsidRDefault="004432F7" w:rsidP="004432F7">
      <w:pPr>
        <w:pStyle w:val="Sinespaciado"/>
        <w:rPr>
          <w:lang w:val="es-ES_tradnl" w:eastAsia="es-ES"/>
        </w:rPr>
      </w:pPr>
    </w:p>
    <w:p w14:paraId="4720E9DF" w14:textId="77777777" w:rsidR="000D22A3" w:rsidRDefault="00040362" w:rsidP="00CF040E">
      <w:pPr>
        <w:spacing w:after="0" w:line="240" w:lineRule="auto"/>
        <w:contextualSpacing/>
        <w:jc w:val="both"/>
        <w:rPr>
          <w:rFonts w:ascii="Arial" w:hAnsi="Arial" w:cs="Arial"/>
          <w:i/>
        </w:rPr>
      </w:pPr>
      <w:r>
        <w:rPr>
          <w:rFonts w:ascii="Arial" w:hAnsi="Arial" w:cs="Arial"/>
        </w:rPr>
        <w:t>E</w:t>
      </w:r>
      <w:r w:rsidR="009A210B">
        <w:rPr>
          <w:rFonts w:ascii="Arial" w:hAnsi="Arial" w:cs="Arial"/>
        </w:rPr>
        <w:t>l</w:t>
      </w:r>
      <w:r w:rsidR="00807A4A">
        <w:rPr>
          <w:rFonts w:ascii="Arial" w:hAnsi="Arial" w:cs="Arial"/>
        </w:rPr>
        <w:t xml:space="preserve"> </w:t>
      </w:r>
      <w:r w:rsidR="00807A4A" w:rsidRPr="00807A4A">
        <w:rPr>
          <w:rFonts w:ascii="Arial" w:hAnsi="Arial" w:cs="Arial"/>
        </w:rPr>
        <w:t>“Manual de lineamientos internos para el trámite de los</w:t>
      </w:r>
      <w:r w:rsidR="00807A4A">
        <w:rPr>
          <w:rFonts w:ascii="Arial" w:hAnsi="Arial" w:cs="Arial"/>
        </w:rPr>
        <w:t xml:space="preserve"> </w:t>
      </w:r>
      <w:r w:rsidR="00807A4A" w:rsidRPr="00807A4A">
        <w:rPr>
          <w:rFonts w:ascii="Arial" w:hAnsi="Arial" w:cs="Arial"/>
        </w:rPr>
        <w:t>procesos de contratación administrativa</w:t>
      </w:r>
      <w:r w:rsidR="009A210B" w:rsidRPr="00101E8E">
        <w:rPr>
          <w:rStyle w:val="Refdenotaalpie"/>
          <w:rFonts w:ascii="Arial" w:hAnsi="Arial" w:cs="Arial"/>
        </w:rPr>
        <w:footnoteReference w:id="9"/>
      </w:r>
      <w:r w:rsidR="00807A4A" w:rsidRPr="00807A4A">
        <w:rPr>
          <w:rFonts w:ascii="Arial" w:hAnsi="Arial" w:cs="Arial"/>
        </w:rPr>
        <w:t>”</w:t>
      </w:r>
      <w:r w:rsidR="00807A4A">
        <w:rPr>
          <w:rFonts w:ascii="Arial" w:hAnsi="Arial" w:cs="Arial"/>
        </w:rPr>
        <w:t>,</w:t>
      </w:r>
      <w:r w:rsidR="008F5F38">
        <w:rPr>
          <w:rFonts w:ascii="Arial" w:hAnsi="Arial" w:cs="Arial"/>
        </w:rPr>
        <w:t xml:space="preserve"> </w:t>
      </w:r>
      <w:r w:rsidR="005132A7">
        <w:rPr>
          <w:rFonts w:ascii="Arial" w:hAnsi="Arial" w:cs="Arial"/>
        </w:rPr>
        <w:t xml:space="preserve">emitido </w:t>
      </w:r>
      <w:r w:rsidR="00681464">
        <w:rPr>
          <w:rFonts w:ascii="Arial" w:hAnsi="Arial" w:cs="Arial"/>
        </w:rPr>
        <w:t xml:space="preserve">por la Proveeduría Institucional </w:t>
      </w:r>
      <w:r w:rsidR="005059C0">
        <w:rPr>
          <w:rFonts w:ascii="Arial" w:hAnsi="Arial" w:cs="Arial"/>
        </w:rPr>
        <w:t xml:space="preserve">establece la confección, firma e inclusión en el expediente de contratación, de la bitácora y la lista de verificación como parte de </w:t>
      </w:r>
      <w:r w:rsidR="00550F16">
        <w:rPr>
          <w:rFonts w:ascii="Arial" w:hAnsi="Arial" w:cs="Arial"/>
        </w:rPr>
        <w:t xml:space="preserve">las </w:t>
      </w:r>
      <w:r w:rsidR="00550F16" w:rsidRPr="00550F16">
        <w:rPr>
          <w:rFonts w:ascii="Arial" w:hAnsi="Arial" w:cs="Arial"/>
        </w:rPr>
        <w:t>guías de trabajo y documentos de control</w:t>
      </w:r>
      <w:r w:rsidR="00A62D36">
        <w:rPr>
          <w:rFonts w:ascii="Arial" w:hAnsi="Arial" w:cs="Arial"/>
        </w:rPr>
        <w:t xml:space="preserve">. </w:t>
      </w:r>
    </w:p>
    <w:p w14:paraId="53CDCEEE" w14:textId="77777777" w:rsidR="000D22A3" w:rsidRDefault="000D22A3" w:rsidP="00CF040E">
      <w:pPr>
        <w:spacing w:after="0" w:line="240" w:lineRule="auto"/>
        <w:ind w:left="708" w:right="709"/>
        <w:contextualSpacing/>
        <w:jc w:val="both"/>
        <w:rPr>
          <w:rFonts w:ascii="Arial" w:hAnsi="Arial" w:cs="Arial"/>
          <w:i/>
        </w:rPr>
      </w:pPr>
    </w:p>
    <w:p w14:paraId="19885415" w14:textId="77777777" w:rsidR="00DA7916" w:rsidRDefault="00AF0981" w:rsidP="00CF040E">
      <w:pPr>
        <w:spacing w:after="0" w:line="240" w:lineRule="auto"/>
        <w:contextualSpacing/>
        <w:jc w:val="both"/>
        <w:rPr>
          <w:rFonts w:ascii="Arial" w:hAnsi="Arial" w:cs="Arial"/>
        </w:rPr>
      </w:pPr>
      <w:r>
        <w:rPr>
          <w:rFonts w:ascii="Arial" w:hAnsi="Arial" w:cs="Arial"/>
        </w:rPr>
        <w:t>Al respecto, l</w:t>
      </w:r>
      <w:r w:rsidR="00DA7916" w:rsidRPr="009E04BB">
        <w:rPr>
          <w:rFonts w:ascii="Arial" w:hAnsi="Arial" w:cs="Arial"/>
        </w:rPr>
        <w:t xml:space="preserve">a Proveeduría Institucional no aplica </w:t>
      </w:r>
      <w:r w:rsidR="008D1DF3">
        <w:rPr>
          <w:rFonts w:ascii="Arial" w:hAnsi="Arial" w:cs="Arial"/>
        </w:rPr>
        <w:t xml:space="preserve">los mecanismos de </w:t>
      </w:r>
      <w:r w:rsidR="00DA7916" w:rsidRPr="009E04BB">
        <w:rPr>
          <w:rFonts w:ascii="Arial" w:hAnsi="Arial" w:cs="Arial"/>
        </w:rPr>
        <w:t>control establecidos en el proceso de contratación administrativa, tal</w:t>
      </w:r>
      <w:r w:rsidR="00145580">
        <w:rPr>
          <w:rFonts w:ascii="Arial" w:hAnsi="Arial" w:cs="Arial"/>
        </w:rPr>
        <w:t>es</w:t>
      </w:r>
      <w:r w:rsidR="00DA7916" w:rsidRPr="009E04BB">
        <w:rPr>
          <w:rFonts w:ascii="Arial" w:hAnsi="Arial" w:cs="Arial"/>
        </w:rPr>
        <w:t xml:space="preserve"> como</w:t>
      </w:r>
      <w:r w:rsidR="00145580">
        <w:rPr>
          <w:rFonts w:ascii="Arial" w:hAnsi="Arial" w:cs="Arial"/>
        </w:rPr>
        <w:t xml:space="preserve"> </w:t>
      </w:r>
      <w:r w:rsidR="00145580" w:rsidRPr="00145580">
        <w:rPr>
          <w:rFonts w:ascii="Arial" w:hAnsi="Arial" w:cs="Arial"/>
        </w:rPr>
        <w:t>la bitácora y lista de verificación</w:t>
      </w:r>
      <w:r w:rsidR="008B06D1">
        <w:rPr>
          <w:rFonts w:ascii="Arial" w:hAnsi="Arial" w:cs="Arial"/>
        </w:rPr>
        <w:t>, detalle que</w:t>
      </w:r>
      <w:r w:rsidR="00DA7916" w:rsidRPr="009E04BB">
        <w:rPr>
          <w:rFonts w:ascii="Arial" w:hAnsi="Arial" w:cs="Arial"/>
        </w:rPr>
        <w:t xml:space="preserve"> se observó en la revisión de </w:t>
      </w:r>
      <w:r w:rsidR="008A7811">
        <w:rPr>
          <w:rFonts w:ascii="Arial" w:hAnsi="Arial" w:cs="Arial"/>
        </w:rPr>
        <w:t>doce</w:t>
      </w:r>
      <w:r w:rsidR="00DA7916" w:rsidRPr="009E04BB">
        <w:rPr>
          <w:rFonts w:ascii="Arial" w:hAnsi="Arial" w:cs="Arial"/>
        </w:rPr>
        <w:t xml:space="preserve"> contrataciones</w:t>
      </w:r>
      <w:r w:rsidR="00FA5A1D">
        <w:rPr>
          <w:rFonts w:ascii="Arial" w:hAnsi="Arial" w:cs="Arial"/>
        </w:rPr>
        <w:t xml:space="preserve"> y</w:t>
      </w:r>
      <w:r w:rsidR="00DA7916" w:rsidRPr="009E04BB">
        <w:rPr>
          <w:rFonts w:ascii="Arial" w:hAnsi="Arial" w:cs="Arial"/>
        </w:rPr>
        <w:t xml:space="preserve"> </w:t>
      </w:r>
      <w:r w:rsidR="008B06D1">
        <w:rPr>
          <w:rFonts w:ascii="Arial" w:hAnsi="Arial" w:cs="Arial"/>
        </w:rPr>
        <w:t>el cual puede observarse</w:t>
      </w:r>
      <w:r w:rsidR="007842E4" w:rsidRPr="007842E4">
        <w:rPr>
          <w:rFonts w:ascii="Arial" w:hAnsi="Arial" w:cs="Arial"/>
        </w:rPr>
        <w:t xml:space="preserve"> </w:t>
      </w:r>
      <w:r w:rsidR="00A62D36">
        <w:rPr>
          <w:rFonts w:ascii="Arial" w:hAnsi="Arial" w:cs="Arial"/>
        </w:rPr>
        <w:t>en el Anexo N°2.</w:t>
      </w:r>
    </w:p>
    <w:p w14:paraId="1E0E7862" w14:textId="77777777" w:rsidR="000503A2" w:rsidRDefault="000503A2" w:rsidP="00CF040E">
      <w:pPr>
        <w:spacing w:after="0" w:line="240" w:lineRule="auto"/>
        <w:contextualSpacing/>
        <w:jc w:val="both"/>
        <w:rPr>
          <w:rFonts w:ascii="Arial" w:hAnsi="Arial" w:cs="Arial"/>
        </w:rPr>
      </w:pPr>
    </w:p>
    <w:p w14:paraId="2C2CF768" w14:textId="77777777" w:rsidR="00A62D36" w:rsidRPr="00A62D36" w:rsidRDefault="00A62D36" w:rsidP="00B715BE">
      <w:pPr>
        <w:spacing w:after="0" w:line="240" w:lineRule="auto"/>
        <w:contextualSpacing/>
        <w:jc w:val="both"/>
        <w:rPr>
          <w:rFonts w:ascii="Arial" w:hAnsi="Arial" w:cs="Arial"/>
        </w:rPr>
      </w:pPr>
      <w:r w:rsidRPr="00A62D36">
        <w:rPr>
          <w:rFonts w:ascii="Arial" w:hAnsi="Arial" w:cs="Arial"/>
        </w:rPr>
        <w:t>Lo antes citado, se debe a que la Proveeduría Institucional, no dispone de una metodología de supervisión para aseg</w:t>
      </w:r>
      <w:r w:rsidR="008B06D1">
        <w:rPr>
          <w:rFonts w:ascii="Arial" w:hAnsi="Arial" w:cs="Arial"/>
        </w:rPr>
        <w:t xml:space="preserve">urar el </w:t>
      </w:r>
      <w:r w:rsidRPr="00A62D36">
        <w:rPr>
          <w:rFonts w:ascii="Arial" w:hAnsi="Arial" w:cs="Arial"/>
        </w:rPr>
        <w:t xml:space="preserve">cumplimiento de los mecanismos control establecidos para el proceso de contratación administrativa. </w:t>
      </w:r>
    </w:p>
    <w:p w14:paraId="541C2646" w14:textId="77777777" w:rsidR="00A62D36" w:rsidRDefault="00A62D36" w:rsidP="00CF040E">
      <w:pPr>
        <w:spacing w:after="0" w:line="240" w:lineRule="auto"/>
        <w:contextualSpacing/>
        <w:jc w:val="both"/>
        <w:rPr>
          <w:rFonts w:ascii="Arial" w:hAnsi="Arial" w:cs="Arial"/>
        </w:rPr>
      </w:pPr>
    </w:p>
    <w:p w14:paraId="56F52EEF" w14:textId="55613895" w:rsidR="005802F4" w:rsidRDefault="00710BA7" w:rsidP="00CF040E">
      <w:pPr>
        <w:spacing w:after="0" w:line="240" w:lineRule="auto"/>
        <w:contextualSpacing/>
        <w:jc w:val="both"/>
        <w:rPr>
          <w:rFonts w:ascii="Arial" w:hAnsi="Arial" w:cs="Arial"/>
        </w:rPr>
      </w:pPr>
      <w:r w:rsidRPr="00FA6338">
        <w:rPr>
          <w:rFonts w:ascii="Arial" w:hAnsi="Arial" w:cs="Arial"/>
        </w:rPr>
        <w:t>Por consiguiente</w:t>
      </w:r>
      <w:r w:rsidR="00C4274C" w:rsidRPr="00C4274C">
        <w:rPr>
          <w:rFonts w:ascii="Arial" w:hAnsi="Arial" w:cs="Arial"/>
        </w:rPr>
        <w:t xml:space="preserve">, </w:t>
      </w:r>
      <w:r w:rsidR="00CB72A1">
        <w:rPr>
          <w:rFonts w:ascii="Arial" w:hAnsi="Arial" w:cs="Arial"/>
        </w:rPr>
        <w:t>la falta de aplicación de los</w:t>
      </w:r>
      <w:r>
        <w:rPr>
          <w:rFonts w:ascii="Arial" w:hAnsi="Arial" w:cs="Arial"/>
        </w:rPr>
        <w:t xml:space="preserve"> mecanismos de control</w:t>
      </w:r>
      <w:r w:rsidR="00CB72A1">
        <w:rPr>
          <w:rFonts w:ascii="Arial" w:hAnsi="Arial" w:cs="Arial"/>
        </w:rPr>
        <w:t xml:space="preserve"> incrementa el riesgo de</w:t>
      </w:r>
      <w:r>
        <w:rPr>
          <w:rFonts w:ascii="Arial" w:hAnsi="Arial" w:cs="Arial"/>
        </w:rPr>
        <w:t xml:space="preserve"> </w:t>
      </w:r>
      <w:r w:rsidR="004110C0" w:rsidRPr="00C4274C">
        <w:rPr>
          <w:rFonts w:ascii="Arial" w:hAnsi="Arial" w:cs="Arial"/>
        </w:rPr>
        <w:t>incumplimiento</w:t>
      </w:r>
      <w:r w:rsidR="00CB72A1">
        <w:rPr>
          <w:rFonts w:ascii="Arial" w:hAnsi="Arial" w:cs="Arial"/>
        </w:rPr>
        <w:t>s</w:t>
      </w:r>
      <w:r w:rsidR="004110C0" w:rsidRPr="00C4274C">
        <w:rPr>
          <w:rFonts w:ascii="Arial" w:hAnsi="Arial" w:cs="Arial"/>
        </w:rPr>
        <w:t xml:space="preserve"> normativo</w:t>
      </w:r>
      <w:r w:rsidR="00CB72A1">
        <w:rPr>
          <w:rFonts w:ascii="Arial" w:hAnsi="Arial" w:cs="Arial"/>
        </w:rPr>
        <w:t>s</w:t>
      </w:r>
      <w:r w:rsidR="004110C0" w:rsidRPr="00C4274C">
        <w:rPr>
          <w:rFonts w:ascii="Arial" w:hAnsi="Arial" w:cs="Arial"/>
        </w:rPr>
        <w:t xml:space="preserve"> por errores materializados respecto a </w:t>
      </w:r>
      <w:r w:rsidR="00DF185E">
        <w:rPr>
          <w:rFonts w:ascii="Arial" w:hAnsi="Arial" w:cs="Arial"/>
        </w:rPr>
        <w:t xml:space="preserve">ausencia de </w:t>
      </w:r>
      <w:r w:rsidR="00E06110">
        <w:rPr>
          <w:rFonts w:ascii="Arial" w:hAnsi="Arial" w:cs="Arial"/>
        </w:rPr>
        <w:lastRenderedPageBreak/>
        <w:t>i</w:t>
      </w:r>
      <w:r w:rsidR="004110C0" w:rsidRPr="00C4274C">
        <w:rPr>
          <w:rFonts w:ascii="Arial" w:hAnsi="Arial" w:cs="Arial"/>
        </w:rPr>
        <w:t>nformación</w:t>
      </w:r>
      <w:r w:rsidR="00CB72A1">
        <w:rPr>
          <w:rFonts w:ascii="Arial" w:hAnsi="Arial" w:cs="Arial"/>
        </w:rPr>
        <w:t>,</w:t>
      </w:r>
      <w:r w:rsidR="00E06110">
        <w:rPr>
          <w:rFonts w:ascii="Arial" w:hAnsi="Arial" w:cs="Arial"/>
        </w:rPr>
        <w:t xml:space="preserve"> en cuanto al avance de las contrataciones</w:t>
      </w:r>
      <w:r w:rsidR="004110C0" w:rsidRPr="00C4274C">
        <w:rPr>
          <w:rFonts w:ascii="Arial" w:hAnsi="Arial" w:cs="Arial"/>
        </w:rPr>
        <w:t xml:space="preserve"> y </w:t>
      </w:r>
      <w:r w:rsidR="00E06110">
        <w:rPr>
          <w:rFonts w:ascii="Arial" w:hAnsi="Arial" w:cs="Arial"/>
        </w:rPr>
        <w:t xml:space="preserve">de </w:t>
      </w:r>
      <w:r w:rsidR="004110C0" w:rsidRPr="00C4274C">
        <w:rPr>
          <w:rFonts w:ascii="Arial" w:hAnsi="Arial" w:cs="Arial"/>
        </w:rPr>
        <w:t xml:space="preserve">documentación </w:t>
      </w:r>
      <w:r w:rsidR="00E06110">
        <w:rPr>
          <w:rFonts w:ascii="Arial" w:hAnsi="Arial" w:cs="Arial"/>
        </w:rPr>
        <w:t xml:space="preserve">que debe contener cada expediente </w:t>
      </w:r>
      <w:r w:rsidR="004110C0" w:rsidRPr="00C4274C">
        <w:rPr>
          <w:rFonts w:ascii="Arial" w:hAnsi="Arial" w:cs="Arial"/>
        </w:rPr>
        <w:t>de contratación administrativa</w:t>
      </w:r>
      <w:r>
        <w:rPr>
          <w:rFonts w:ascii="Arial" w:hAnsi="Arial" w:cs="Arial"/>
        </w:rPr>
        <w:t>.</w:t>
      </w:r>
      <w:r w:rsidR="005802F4" w:rsidRPr="00780812">
        <w:rPr>
          <w:rFonts w:ascii="Arial" w:hAnsi="Arial" w:cs="Arial"/>
        </w:rPr>
        <w:t xml:space="preserve"> </w:t>
      </w:r>
    </w:p>
    <w:p w14:paraId="0DC4823A" w14:textId="77777777" w:rsidR="0096751E" w:rsidRPr="00780812" w:rsidRDefault="0096751E" w:rsidP="00CF040E">
      <w:pPr>
        <w:spacing w:after="0" w:line="240" w:lineRule="auto"/>
        <w:contextualSpacing/>
        <w:jc w:val="both"/>
        <w:rPr>
          <w:rFonts w:ascii="Arial" w:hAnsi="Arial" w:cs="Arial"/>
        </w:rPr>
      </w:pPr>
    </w:p>
    <w:p w14:paraId="51C91CF2" w14:textId="0AB00CF6" w:rsidR="00DA7916" w:rsidRPr="000E36F7" w:rsidRDefault="00DA7916" w:rsidP="000E36F7">
      <w:pPr>
        <w:pStyle w:val="Ttulo1"/>
        <w:keepNext w:val="0"/>
        <w:keepLines w:val="0"/>
        <w:numPr>
          <w:ilvl w:val="1"/>
          <w:numId w:val="19"/>
        </w:numPr>
        <w:spacing w:before="0" w:after="0"/>
        <w:ind w:left="567" w:right="51" w:hanging="567"/>
        <w:contextualSpacing/>
        <w:jc w:val="both"/>
        <w:rPr>
          <w:rFonts w:ascii="Arial" w:hAnsi="Arial" w:cs="Arial"/>
          <w:b/>
          <w:color w:val="44546A" w:themeColor="text2"/>
          <w:sz w:val="24"/>
          <w:szCs w:val="24"/>
          <w:lang w:val="es-ES_tradnl" w:eastAsia="es-ES"/>
        </w:rPr>
      </w:pPr>
      <w:bookmarkStart w:id="85" w:name="_Toc103849931"/>
      <w:bookmarkStart w:id="86" w:name="_Toc108431901"/>
      <w:bookmarkStart w:id="87" w:name="_Toc390783338"/>
      <w:bookmarkEnd w:id="78"/>
      <w:bookmarkEnd w:id="80"/>
      <w:r w:rsidRPr="000E36F7">
        <w:rPr>
          <w:rFonts w:ascii="Arial" w:hAnsi="Arial" w:cs="Arial"/>
          <w:b/>
          <w:color w:val="44546A" w:themeColor="text2"/>
          <w:sz w:val="24"/>
          <w:szCs w:val="24"/>
          <w:lang w:val="es-ES_tradnl" w:eastAsia="es-ES"/>
        </w:rPr>
        <w:t xml:space="preserve">Sobre la </w:t>
      </w:r>
      <w:r w:rsidR="00452D8B">
        <w:rPr>
          <w:rFonts w:ascii="Arial" w:hAnsi="Arial" w:cs="Arial"/>
          <w:b/>
          <w:color w:val="44546A" w:themeColor="text2"/>
          <w:sz w:val="24"/>
          <w:szCs w:val="24"/>
          <w:lang w:val="es-ES_tradnl" w:eastAsia="es-ES"/>
        </w:rPr>
        <w:t>falta de firma en el documento de e</w:t>
      </w:r>
      <w:r w:rsidR="00452D8B" w:rsidRPr="00452D8B">
        <w:rPr>
          <w:rFonts w:ascii="Arial" w:hAnsi="Arial" w:cs="Arial"/>
          <w:b/>
          <w:color w:val="44546A" w:themeColor="text2"/>
          <w:sz w:val="24"/>
          <w:szCs w:val="24"/>
          <w:lang w:val="es-ES_tradnl" w:eastAsia="es-ES"/>
        </w:rPr>
        <w:t>specificaciones técnicas y condiciones generales</w:t>
      </w:r>
      <w:bookmarkEnd w:id="85"/>
      <w:bookmarkEnd w:id="86"/>
    </w:p>
    <w:p w14:paraId="2B68481B" w14:textId="77777777" w:rsidR="00810AF8" w:rsidRDefault="00810AF8" w:rsidP="00DA7916">
      <w:pPr>
        <w:spacing w:after="0" w:line="240" w:lineRule="auto"/>
        <w:contextualSpacing/>
        <w:jc w:val="both"/>
        <w:rPr>
          <w:rFonts w:ascii="Arial" w:hAnsi="Arial" w:cs="Arial"/>
        </w:rPr>
      </w:pPr>
    </w:p>
    <w:p w14:paraId="5AA305A1" w14:textId="77777777" w:rsidR="00DA7916" w:rsidRDefault="00C25C0F" w:rsidP="00DA7916">
      <w:pPr>
        <w:spacing w:after="0" w:line="240" w:lineRule="auto"/>
        <w:contextualSpacing/>
        <w:jc w:val="both"/>
        <w:rPr>
          <w:rFonts w:ascii="Arial" w:hAnsi="Arial" w:cs="Arial"/>
        </w:rPr>
      </w:pPr>
      <w:r>
        <w:rPr>
          <w:rFonts w:ascii="Arial" w:hAnsi="Arial" w:cs="Arial"/>
        </w:rPr>
        <w:t>Respecto a la Autorización y aprobación, l</w:t>
      </w:r>
      <w:r w:rsidR="00DA7916" w:rsidRPr="00CE39F6">
        <w:rPr>
          <w:rFonts w:ascii="Arial" w:hAnsi="Arial" w:cs="Arial"/>
        </w:rPr>
        <w:t>as Normas de control interno para el Sector Público</w:t>
      </w:r>
      <w:r w:rsidR="005F4B1F">
        <w:rPr>
          <w:rFonts w:ascii="Arial" w:hAnsi="Arial" w:cs="Arial"/>
        </w:rPr>
        <w:t>,</w:t>
      </w:r>
      <w:r>
        <w:rPr>
          <w:rFonts w:ascii="Arial" w:hAnsi="Arial" w:cs="Arial"/>
        </w:rPr>
        <w:t xml:space="preserve"> refieren</w:t>
      </w:r>
      <w:r w:rsidR="00DA7916" w:rsidRPr="00CE39F6">
        <w:rPr>
          <w:rFonts w:ascii="Arial" w:hAnsi="Arial" w:cs="Arial"/>
        </w:rPr>
        <w:t xml:space="preserve"> </w:t>
      </w:r>
      <w:r w:rsidR="00DA7916">
        <w:rPr>
          <w:rFonts w:ascii="Arial" w:hAnsi="Arial" w:cs="Arial"/>
        </w:rPr>
        <w:t xml:space="preserve">en el punto </w:t>
      </w:r>
      <w:r w:rsidR="00DA7916" w:rsidRPr="008A22A4">
        <w:rPr>
          <w:rFonts w:ascii="Arial" w:hAnsi="Arial" w:cs="Arial"/>
        </w:rPr>
        <w:t>2.5.2</w:t>
      </w:r>
      <w:r w:rsidR="00DA7916">
        <w:rPr>
          <w:rFonts w:ascii="Arial" w:hAnsi="Arial" w:cs="Arial"/>
        </w:rPr>
        <w:t>, lo siguiente:</w:t>
      </w:r>
    </w:p>
    <w:p w14:paraId="3B1BD8D1" w14:textId="77777777" w:rsidR="00DA7916" w:rsidRPr="002D4E75" w:rsidRDefault="00DA7916" w:rsidP="00DA7916">
      <w:pPr>
        <w:spacing w:after="0" w:line="240" w:lineRule="auto"/>
        <w:contextualSpacing/>
        <w:jc w:val="both"/>
        <w:rPr>
          <w:rFonts w:ascii="Arial" w:hAnsi="Arial" w:cs="Arial"/>
        </w:rPr>
      </w:pPr>
    </w:p>
    <w:p w14:paraId="36598FE9" w14:textId="77777777" w:rsidR="00DA7916" w:rsidRDefault="00DA7916" w:rsidP="00DA7916">
      <w:pPr>
        <w:spacing w:after="0" w:line="240" w:lineRule="auto"/>
        <w:ind w:left="708" w:right="709"/>
        <w:contextualSpacing/>
        <w:jc w:val="both"/>
        <w:rPr>
          <w:rFonts w:ascii="Arial" w:hAnsi="Arial" w:cs="Arial"/>
          <w:i/>
        </w:rPr>
      </w:pPr>
      <w:r w:rsidRPr="002D4E75">
        <w:rPr>
          <w:rFonts w:ascii="Arial" w:hAnsi="Arial" w:cs="Arial"/>
          <w:i/>
        </w:rPr>
        <w:t xml:space="preserve">“La </w:t>
      </w:r>
      <w:r w:rsidRPr="008A22A4">
        <w:rPr>
          <w:rFonts w:ascii="Arial" w:hAnsi="Arial" w:cs="Arial"/>
          <w:i/>
        </w:rPr>
        <w:t>ejecución de los</w:t>
      </w:r>
      <w:r>
        <w:rPr>
          <w:rFonts w:ascii="Arial" w:hAnsi="Arial" w:cs="Arial"/>
          <w:i/>
        </w:rPr>
        <w:t xml:space="preserve"> </w:t>
      </w:r>
      <w:r w:rsidRPr="008A22A4">
        <w:rPr>
          <w:rFonts w:ascii="Arial" w:hAnsi="Arial" w:cs="Arial"/>
          <w:i/>
        </w:rPr>
        <w:t>procesos, operaciones y transacciones institucionales debe contar con la autorización y la aprobación respectiva de parte de los funcionarios con potestad para concederlas...</w:t>
      </w:r>
      <w:r w:rsidRPr="002D4E75">
        <w:rPr>
          <w:rFonts w:ascii="Arial" w:hAnsi="Arial" w:cs="Arial"/>
          <w:i/>
        </w:rPr>
        <w:t>”</w:t>
      </w:r>
    </w:p>
    <w:p w14:paraId="24F2AA26" w14:textId="77777777" w:rsidR="00DA7916" w:rsidRDefault="00DA7916" w:rsidP="00DA7916">
      <w:pPr>
        <w:spacing w:after="0" w:line="240" w:lineRule="auto"/>
        <w:contextualSpacing/>
        <w:jc w:val="both"/>
        <w:rPr>
          <w:rFonts w:ascii="Arial" w:hAnsi="Arial" w:cs="Arial"/>
          <w:i/>
        </w:rPr>
      </w:pPr>
    </w:p>
    <w:p w14:paraId="0C7638BE" w14:textId="77777777" w:rsidR="00DA7916" w:rsidRPr="00FD746E" w:rsidRDefault="00DA7916" w:rsidP="00CF040E">
      <w:pPr>
        <w:spacing w:after="0" w:line="240" w:lineRule="auto"/>
        <w:contextualSpacing/>
        <w:jc w:val="both"/>
        <w:rPr>
          <w:rFonts w:ascii="Arial" w:hAnsi="Arial" w:cs="Arial"/>
        </w:rPr>
      </w:pPr>
      <w:r w:rsidRPr="00FD746E">
        <w:rPr>
          <w:rFonts w:ascii="Arial" w:hAnsi="Arial" w:cs="Arial"/>
        </w:rPr>
        <w:t xml:space="preserve">Al respecto, </w:t>
      </w:r>
      <w:r w:rsidR="00B702A4">
        <w:rPr>
          <w:rFonts w:ascii="Arial" w:hAnsi="Arial" w:cs="Arial"/>
        </w:rPr>
        <w:t>la</w:t>
      </w:r>
      <w:r w:rsidRPr="00FD746E">
        <w:rPr>
          <w:rFonts w:ascii="Arial" w:hAnsi="Arial" w:cs="Arial"/>
        </w:rPr>
        <w:t xml:space="preserve"> Proveeduría Institucional no está dejando evidencia a través de una firma, el sustento de la autorización y aprobación del </w:t>
      </w:r>
      <w:bookmarkStart w:id="88" w:name="_Hlk104358685"/>
      <w:r w:rsidRPr="00FD746E">
        <w:rPr>
          <w:rFonts w:ascii="Arial" w:hAnsi="Arial" w:cs="Arial"/>
        </w:rPr>
        <w:t>documento denominado</w:t>
      </w:r>
      <w:r w:rsidR="00C25C0F" w:rsidRPr="00C25C0F">
        <w:t xml:space="preserve"> </w:t>
      </w:r>
      <w:r w:rsidR="00C25C0F" w:rsidRPr="00C25C0F">
        <w:rPr>
          <w:rFonts w:ascii="Arial" w:hAnsi="Arial" w:cs="Arial"/>
        </w:rPr>
        <w:t>“</w:t>
      </w:r>
      <w:r w:rsidR="00C25C0F">
        <w:rPr>
          <w:rFonts w:ascii="Arial" w:hAnsi="Arial" w:cs="Arial"/>
        </w:rPr>
        <w:t>E</w:t>
      </w:r>
      <w:r w:rsidR="00C25C0F" w:rsidRPr="00C25C0F">
        <w:rPr>
          <w:rFonts w:ascii="Arial" w:hAnsi="Arial" w:cs="Arial"/>
        </w:rPr>
        <w:t>specificaciones técnicas y condiciones generales”, documentación que forma parte del apartado “Información de Cartel”.</w:t>
      </w:r>
      <w:bookmarkEnd w:id="88"/>
      <w:r w:rsidR="00C25C0F">
        <w:rPr>
          <w:rFonts w:ascii="Arial" w:hAnsi="Arial" w:cs="Arial"/>
        </w:rPr>
        <w:t xml:space="preserve"> </w:t>
      </w:r>
      <w:r w:rsidR="00C25C0F" w:rsidRPr="00C25C0F">
        <w:rPr>
          <w:rFonts w:ascii="Arial" w:hAnsi="Arial" w:cs="Arial"/>
        </w:rPr>
        <w:t>Esta situación se observó en la revisión de una muestra de 12 expedientes.</w:t>
      </w:r>
      <w:r w:rsidR="00C25C0F">
        <w:rPr>
          <w:rFonts w:ascii="Arial" w:hAnsi="Arial" w:cs="Arial"/>
        </w:rPr>
        <w:t xml:space="preserve"> </w:t>
      </w:r>
      <w:r w:rsidRPr="00FD746E">
        <w:rPr>
          <w:rFonts w:ascii="Arial" w:hAnsi="Arial" w:cs="Arial"/>
        </w:rPr>
        <w:t xml:space="preserve"> </w:t>
      </w:r>
    </w:p>
    <w:p w14:paraId="2E6B88B2" w14:textId="77777777" w:rsidR="003773FE" w:rsidRDefault="003773FE" w:rsidP="00CF040E">
      <w:pPr>
        <w:pStyle w:val="Default"/>
        <w:jc w:val="both"/>
        <w:rPr>
          <w:rFonts w:ascii="Arial" w:hAnsi="Arial" w:cs="Arial"/>
          <w:sz w:val="22"/>
          <w:szCs w:val="22"/>
        </w:rPr>
      </w:pPr>
    </w:p>
    <w:p w14:paraId="6E67ECED" w14:textId="77777777" w:rsidR="00C921DB" w:rsidRDefault="00DA7916" w:rsidP="00CF040E">
      <w:pPr>
        <w:pStyle w:val="Default"/>
        <w:jc w:val="both"/>
        <w:rPr>
          <w:rFonts w:ascii="Verdana" w:hAnsi="Verdana"/>
          <w:spacing w:val="-1"/>
          <w:sz w:val="20"/>
          <w:szCs w:val="20"/>
        </w:rPr>
      </w:pPr>
      <w:r w:rsidRPr="00FD746E">
        <w:rPr>
          <w:rFonts w:ascii="Arial" w:hAnsi="Arial" w:cs="Arial"/>
          <w:sz w:val="22"/>
          <w:szCs w:val="22"/>
        </w:rPr>
        <w:t xml:space="preserve">Lo antes citado, se debe a que la Proveeduría Institucional eliminó del </w:t>
      </w:r>
      <w:r w:rsidR="00C25C0F" w:rsidRPr="00C25C0F">
        <w:rPr>
          <w:rFonts w:ascii="Arial" w:hAnsi="Arial" w:cs="Arial"/>
          <w:sz w:val="22"/>
          <w:szCs w:val="22"/>
        </w:rPr>
        <w:t xml:space="preserve">Manual de lineamientos internos para el trámite de los procesos de contratación administrativa </w:t>
      </w:r>
      <w:r w:rsidRPr="00FD746E">
        <w:rPr>
          <w:rFonts w:ascii="Arial" w:hAnsi="Arial" w:cs="Arial"/>
          <w:sz w:val="22"/>
          <w:szCs w:val="22"/>
        </w:rPr>
        <w:t>la firma del documento “</w:t>
      </w:r>
      <w:r w:rsidR="009A210B">
        <w:rPr>
          <w:rFonts w:ascii="Arial" w:hAnsi="Arial" w:cs="Arial"/>
          <w:sz w:val="22"/>
          <w:szCs w:val="22"/>
        </w:rPr>
        <w:t>E</w:t>
      </w:r>
      <w:r w:rsidR="009A210B" w:rsidRPr="009A210B">
        <w:rPr>
          <w:rFonts w:ascii="Arial" w:hAnsi="Arial" w:cs="Arial"/>
          <w:sz w:val="22"/>
          <w:szCs w:val="22"/>
        </w:rPr>
        <w:t>specificaciones técnicas y condiciones generales</w:t>
      </w:r>
      <w:r w:rsidRPr="00FD746E">
        <w:rPr>
          <w:rFonts w:ascii="Arial" w:hAnsi="Arial" w:cs="Arial"/>
          <w:sz w:val="22"/>
          <w:szCs w:val="22"/>
        </w:rPr>
        <w:t>”</w:t>
      </w:r>
      <w:r w:rsidR="008B06D1">
        <w:rPr>
          <w:rFonts w:ascii="Arial" w:hAnsi="Arial" w:cs="Arial"/>
          <w:sz w:val="22"/>
          <w:szCs w:val="22"/>
        </w:rPr>
        <w:t>.</w:t>
      </w:r>
    </w:p>
    <w:p w14:paraId="23F93F41" w14:textId="77777777" w:rsidR="00C921DB" w:rsidRDefault="00C921DB" w:rsidP="00CF040E">
      <w:pPr>
        <w:spacing w:after="0" w:line="240" w:lineRule="auto"/>
        <w:contextualSpacing/>
        <w:jc w:val="both"/>
        <w:rPr>
          <w:rFonts w:ascii="Arial" w:hAnsi="Arial" w:cs="Arial"/>
        </w:rPr>
      </w:pPr>
    </w:p>
    <w:p w14:paraId="2BFC5D88" w14:textId="77777777" w:rsidR="00DA7916" w:rsidRPr="00FD746E" w:rsidRDefault="00DA7916" w:rsidP="00CF040E">
      <w:pPr>
        <w:spacing w:after="0" w:line="240" w:lineRule="auto"/>
        <w:contextualSpacing/>
        <w:jc w:val="both"/>
        <w:rPr>
          <w:rFonts w:ascii="Arial" w:hAnsi="Arial" w:cs="Arial"/>
        </w:rPr>
      </w:pPr>
      <w:r w:rsidRPr="00FD746E">
        <w:rPr>
          <w:rFonts w:ascii="Arial" w:hAnsi="Arial" w:cs="Arial"/>
        </w:rPr>
        <w:t xml:space="preserve">Lo señalado anteriormente, genera el riesgo </w:t>
      </w:r>
      <w:r w:rsidR="00914BE6">
        <w:rPr>
          <w:rFonts w:ascii="Arial" w:hAnsi="Arial" w:cs="Arial"/>
        </w:rPr>
        <w:t xml:space="preserve">que no se </w:t>
      </w:r>
      <w:r w:rsidR="008B06D1">
        <w:rPr>
          <w:rFonts w:ascii="Arial" w:hAnsi="Arial" w:cs="Arial"/>
        </w:rPr>
        <w:t xml:space="preserve">pueda </w:t>
      </w:r>
      <w:r w:rsidR="008B06D1" w:rsidRPr="00FD746E">
        <w:rPr>
          <w:rFonts w:ascii="Arial" w:hAnsi="Arial" w:cs="Arial"/>
        </w:rPr>
        <w:t>garantizar</w:t>
      </w:r>
      <w:r w:rsidRPr="00FD746E">
        <w:rPr>
          <w:rFonts w:ascii="Arial" w:hAnsi="Arial" w:cs="Arial"/>
        </w:rPr>
        <w:t xml:space="preserve"> que las especificaciones técnicas incluidas en el cartel correspondan a lo realmente solicitado, afectando así</w:t>
      </w:r>
      <w:r>
        <w:rPr>
          <w:rFonts w:ascii="Arial" w:hAnsi="Arial" w:cs="Arial"/>
        </w:rPr>
        <w:t xml:space="preserve"> </w:t>
      </w:r>
      <w:r w:rsidRPr="00FD746E">
        <w:rPr>
          <w:rFonts w:ascii="Arial" w:hAnsi="Arial" w:cs="Arial"/>
        </w:rPr>
        <w:t>la imagen ministerial ante una adjudicación incorrecta.</w:t>
      </w:r>
    </w:p>
    <w:p w14:paraId="42EF832B" w14:textId="06CA1CBA" w:rsidR="0094442E" w:rsidRDefault="0094442E" w:rsidP="00DA7916">
      <w:pPr>
        <w:spacing w:after="0" w:line="240" w:lineRule="auto"/>
        <w:contextualSpacing/>
        <w:jc w:val="both"/>
        <w:rPr>
          <w:rFonts w:ascii="Arial" w:hAnsi="Arial" w:cs="Arial"/>
        </w:rPr>
      </w:pPr>
    </w:p>
    <w:p w14:paraId="12BCAF04" w14:textId="77777777" w:rsidR="0096751E" w:rsidRDefault="0096751E" w:rsidP="00DA7916">
      <w:pPr>
        <w:spacing w:after="0" w:line="240" w:lineRule="auto"/>
        <w:contextualSpacing/>
        <w:jc w:val="both"/>
        <w:rPr>
          <w:rFonts w:ascii="Arial" w:hAnsi="Arial" w:cs="Arial"/>
        </w:rPr>
      </w:pPr>
    </w:p>
    <w:p w14:paraId="1FD8AC29" w14:textId="0791E3C7" w:rsidR="00DA7916" w:rsidRPr="000E36F7" w:rsidRDefault="00DA7916" w:rsidP="000E36F7">
      <w:pPr>
        <w:pStyle w:val="Ttulo1"/>
        <w:keepNext w:val="0"/>
        <w:keepLines w:val="0"/>
        <w:numPr>
          <w:ilvl w:val="1"/>
          <w:numId w:val="19"/>
        </w:numPr>
        <w:spacing w:before="0" w:after="0"/>
        <w:ind w:left="567" w:right="51" w:hanging="567"/>
        <w:contextualSpacing/>
        <w:jc w:val="both"/>
        <w:rPr>
          <w:rFonts w:ascii="Arial" w:hAnsi="Arial" w:cs="Arial"/>
          <w:b/>
          <w:color w:val="44546A" w:themeColor="text2"/>
          <w:sz w:val="24"/>
          <w:szCs w:val="24"/>
          <w:lang w:val="es-ES_tradnl" w:eastAsia="es-ES"/>
        </w:rPr>
      </w:pPr>
      <w:bookmarkStart w:id="89" w:name="_Toc103849932"/>
      <w:bookmarkStart w:id="90" w:name="_Toc108431902"/>
      <w:bookmarkStart w:id="91" w:name="_Hlk88646292"/>
      <w:r w:rsidRPr="000E36F7">
        <w:rPr>
          <w:rFonts w:ascii="Arial" w:hAnsi="Arial" w:cs="Arial"/>
          <w:b/>
          <w:color w:val="44546A" w:themeColor="text2"/>
          <w:sz w:val="24"/>
          <w:szCs w:val="24"/>
          <w:lang w:val="es-ES_tradnl" w:eastAsia="es-ES"/>
        </w:rPr>
        <w:t xml:space="preserve">Sobre omisiones de documentación en el expediente electrónico de la contratación en el </w:t>
      </w:r>
      <w:bookmarkStart w:id="92" w:name="_Hlk104358775"/>
      <w:r w:rsidRPr="000E36F7">
        <w:rPr>
          <w:rFonts w:ascii="Arial" w:hAnsi="Arial" w:cs="Arial"/>
          <w:b/>
          <w:color w:val="44546A" w:themeColor="text2"/>
          <w:sz w:val="24"/>
          <w:szCs w:val="24"/>
          <w:lang w:val="es-ES_tradnl" w:eastAsia="es-ES"/>
        </w:rPr>
        <w:t>Sistema Integrado de Compras Públicas (SICOP)</w:t>
      </w:r>
      <w:bookmarkEnd w:id="89"/>
      <w:bookmarkEnd w:id="92"/>
      <w:bookmarkEnd w:id="90"/>
    </w:p>
    <w:p w14:paraId="56515199" w14:textId="77777777" w:rsidR="00DA7916" w:rsidRDefault="00DA7916" w:rsidP="00DA7916">
      <w:pPr>
        <w:spacing w:after="0" w:line="240" w:lineRule="auto"/>
        <w:contextualSpacing/>
        <w:jc w:val="both"/>
        <w:rPr>
          <w:rFonts w:ascii="Arial" w:hAnsi="Arial" w:cs="Arial"/>
          <w:b/>
          <w:sz w:val="24"/>
          <w:szCs w:val="24"/>
        </w:rPr>
      </w:pPr>
    </w:p>
    <w:p w14:paraId="08B436F9" w14:textId="16483A2F" w:rsidR="00DA7916" w:rsidRDefault="00DA7916" w:rsidP="00DA7916">
      <w:pPr>
        <w:spacing w:after="0" w:line="240" w:lineRule="auto"/>
        <w:contextualSpacing/>
        <w:jc w:val="both"/>
        <w:rPr>
          <w:rFonts w:ascii="Arial" w:hAnsi="Arial" w:cs="Arial"/>
        </w:rPr>
      </w:pPr>
      <w:r w:rsidRPr="00D17BD7">
        <w:rPr>
          <w:rFonts w:ascii="Arial" w:hAnsi="Arial" w:cs="Arial"/>
        </w:rPr>
        <w:t>El Reglamento a la Ley de Contratación Administrativa</w:t>
      </w:r>
      <w:r w:rsidR="00D80115" w:rsidRPr="00D17BD7">
        <w:rPr>
          <w:rStyle w:val="Refdenotaalpie"/>
          <w:rFonts w:ascii="Arial" w:hAnsi="Arial" w:cs="Arial"/>
        </w:rPr>
        <w:footnoteReference w:id="10"/>
      </w:r>
      <w:r w:rsidRPr="00D17BD7">
        <w:rPr>
          <w:rFonts w:ascii="Arial" w:hAnsi="Arial" w:cs="Arial"/>
        </w:rPr>
        <w:t xml:space="preserve">, en el </w:t>
      </w:r>
      <w:r w:rsidR="00661E06">
        <w:rPr>
          <w:rFonts w:ascii="Arial" w:hAnsi="Arial" w:cs="Arial"/>
        </w:rPr>
        <w:t>A</w:t>
      </w:r>
      <w:r w:rsidRPr="00D17BD7">
        <w:rPr>
          <w:rFonts w:ascii="Arial" w:hAnsi="Arial" w:cs="Arial"/>
        </w:rPr>
        <w:t>rtículo 11, indica lo siguiente:</w:t>
      </w:r>
    </w:p>
    <w:p w14:paraId="13F381F5" w14:textId="77777777" w:rsidR="004432F7" w:rsidRDefault="004432F7" w:rsidP="00DA7916">
      <w:pPr>
        <w:spacing w:after="0" w:line="240" w:lineRule="auto"/>
        <w:ind w:left="708" w:right="709"/>
        <w:contextualSpacing/>
        <w:jc w:val="both"/>
        <w:rPr>
          <w:rFonts w:ascii="Arial" w:hAnsi="Arial" w:cs="Arial"/>
          <w:i/>
        </w:rPr>
      </w:pPr>
    </w:p>
    <w:p w14:paraId="7FCD489A" w14:textId="77777777" w:rsidR="00DA7916" w:rsidRPr="00D17BD7" w:rsidRDefault="00D17BD7" w:rsidP="00DA7916">
      <w:pPr>
        <w:spacing w:after="0" w:line="240" w:lineRule="auto"/>
        <w:ind w:left="708" w:right="709"/>
        <w:contextualSpacing/>
        <w:jc w:val="both"/>
        <w:rPr>
          <w:rFonts w:ascii="Arial" w:hAnsi="Arial" w:cs="Arial"/>
          <w:i/>
        </w:rPr>
      </w:pPr>
      <w:r w:rsidRPr="00D17BD7">
        <w:rPr>
          <w:rFonts w:ascii="Arial" w:hAnsi="Arial" w:cs="Arial"/>
          <w:i/>
        </w:rPr>
        <w:t xml:space="preserve"> </w:t>
      </w:r>
      <w:r w:rsidR="00DA7916" w:rsidRPr="00D17BD7">
        <w:rPr>
          <w:rFonts w:ascii="Arial" w:hAnsi="Arial" w:cs="Arial"/>
          <w:i/>
        </w:rPr>
        <w:t>“…expediente deberá contener la totalidad de las actuaciones desarrolladas tanto por la Administración contratante como por los demás participantes…”</w:t>
      </w:r>
    </w:p>
    <w:p w14:paraId="0167296B" w14:textId="77777777" w:rsidR="004432F7" w:rsidRDefault="004432F7" w:rsidP="00005377">
      <w:pPr>
        <w:pStyle w:val="Textosinformato"/>
        <w:jc w:val="both"/>
        <w:rPr>
          <w:rFonts w:ascii="Arial" w:hAnsi="Arial" w:cs="Arial"/>
          <w:sz w:val="22"/>
          <w:szCs w:val="22"/>
        </w:rPr>
      </w:pPr>
    </w:p>
    <w:p w14:paraId="6DACAFE1" w14:textId="77777777" w:rsidR="00727D5F" w:rsidRDefault="008B0B52" w:rsidP="004432F7">
      <w:pPr>
        <w:pStyle w:val="Textosinformato"/>
        <w:jc w:val="both"/>
        <w:rPr>
          <w:rFonts w:ascii="Arial" w:hAnsi="Arial" w:cs="Arial"/>
          <w:sz w:val="22"/>
          <w:szCs w:val="22"/>
        </w:rPr>
      </w:pPr>
      <w:r w:rsidRPr="0067354E">
        <w:rPr>
          <w:rFonts w:ascii="Arial" w:hAnsi="Arial" w:cs="Arial"/>
          <w:sz w:val="22"/>
          <w:szCs w:val="22"/>
        </w:rPr>
        <w:t xml:space="preserve">Al respecto, </w:t>
      </w:r>
      <w:r w:rsidR="00B702A4" w:rsidRPr="0067354E">
        <w:rPr>
          <w:rFonts w:ascii="Arial" w:hAnsi="Arial" w:cs="Arial"/>
          <w:sz w:val="22"/>
          <w:szCs w:val="22"/>
        </w:rPr>
        <w:t xml:space="preserve">la </w:t>
      </w:r>
      <w:r w:rsidR="00DA7916" w:rsidRPr="0067354E">
        <w:rPr>
          <w:rFonts w:ascii="Arial" w:hAnsi="Arial" w:cs="Arial"/>
          <w:sz w:val="22"/>
          <w:szCs w:val="22"/>
        </w:rPr>
        <w:t xml:space="preserve">Proveeduría Institucional no registra la totalidad de las actuaciones desarrolladas en el proceso contractual en el expediente electrónico que consta en el </w:t>
      </w:r>
      <w:r w:rsidR="00D80115" w:rsidRPr="0067354E">
        <w:rPr>
          <w:rFonts w:ascii="Arial" w:hAnsi="Arial" w:cs="Arial"/>
          <w:sz w:val="22"/>
          <w:szCs w:val="22"/>
        </w:rPr>
        <w:t>Sistema Integrado de Compras Públicas (</w:t>
      </w:r>
      <w:r w:rsidR="00DA7916" w:rsidRPr="0067354E">
        <w:rPr>
          <w:rFonts w:ascii="Arial" w:hAnsi="Arial" w:cs="Arial"/>
          <w:sz w:val="22"/>
          <w:szCs w:val="22"/>
        </w:rPr>
        <w:t>SICOP</w:t>
      </w:r>
      <w:r w:rsidR="00D80115" w:rsidRPr="0067354E">
        <w:rPr>
          <w:rFonts w:ascii="Arial" w:hAnsi="Arial" w:cs="Arial"/>
          <w:sz w:val="22"/>
          <w:szCs w:val="22"/>
        </w:rPr>
        <w:t>)</w:t>
      </w:r>
      <w:r w:rsidR="00727D5F" w:rsidRPr="0067354E">
        <w:rPr>
          <w:rFonts w:ascii="Arial" w:hAnsi="Arial" w:cs="Arial"/>
          <w:sz w:val="22"/>
          <w:szCs w:val="22"/>
        </w:rPr>
        <w:t>,</w:t>
      </w:r>
      <w:r w:rsidR="00DB4F64">
        <w:rPr>
          <w:rFonts w:ascii="Arial" w:hAnsi="Arial" w:cs="Arial"/>
          <w:sz w:val="22"/>
          <w:szCs w:val="22"/>
        </w:rPr>
        <w:t xml:space="preserve"> </w:t>
      </w:r>
      <w:r w:rsidR="00644DC5">
        <w:rPr>
          <w:rFonts w:ascii="Arial" w:hAnsi="Arial" w:cs="Arial"/>
          <w:sz w:val="22"/>
          <w:szCs w:val="22"/>
        </w:rPr>
        <w:t>por ejemplo, facturas, documentación</w:t>
      </w:r>
      <w:r w:rsidR="00644DC5" w:rsidRPr="00644DC5">
        <w:rPr>
          <w:rFonts w:ascii="Arial" w:hAnsi="Arial" w:cs="Arial"/>
          <w:sz w:val="22"/>
          <w:szCs w:val="22"/>
        </w:rPr>
        <w:t xml:space="preserve"> que evidencie la aplicación de los controles establecidos por parte de funcionarios encargados de los contratos</w:t>
      </w:r>
      <w:r w:rsidR="00644DC5">
        <w:rPr>
          <w:rFonts w:ascii="Arial" w:hAnsi="Arial" w:cs="Arial"/>
          <w:sz w:val="22"/>
          <w:szCs w:val="22"/>
        </w:rPr>
        <w:t xml:space="preserve">, entre otros, tal </w:t>
      </w:r>
      <w:r w:rsidR="00727D5F" w:rsidRPr="0067354E">
        <w:rPr>
          <w:rFonts w:ascii="Arial" w:hAnsi="Arial" w:cs="Arial"/>
          <w:sz w:val="22"/>
          <w:szCs w:val="22"/>
        </w:rPr>
        <w:t xml:space="preserve">como se </w:t>
      </w:r>
      <w:r w:rsidR="00644DC5">
        <w:rPr>
          <w:rFonts w:ascii="Arial" w:hAnsi="Arial" w:cs="Arial"/>
          <w:sz w:val="22"/>
          <w:szCs w:val="22"/>
        </w:rPr>
        <w:t>detalla</w:t>
      </w:r>
      <w:r w:rsidR="00727D5F" w:rsidRPr="0067354E">
        <w:rPr>
          <w:rFonts w:ascii="Arial" w:hAnsi="Arial" w:cs="Arial"/>
          <w:sz w:val="22"/>
          <w:szCs w:val="22"/>
        </w:rPr>
        <w:t xml:space="preserve"> en la siguiente tabla:</w:t>
      </w:r>
    </w:p>
    <w:p w14:paraId="386B6CD3" w14:textId="77777777" w:rsidR="0096751E" w:rsidRDefault="0096751E" w:rsidP="0096751E">
      <w:pPr>
        <w:jc w:val="center"/>
        <w:rPr>
          <w:rFonts w:ascii="Arial" w:eastAsia="Times New Roman" w:hAnsi="Arial" w:cs="Arial"/>
          <w:b/>
          <w:color w:val="44546A" w:themeColor="text2"/>
          <w:lang w:eastAsia="es-CR"/>
        </w:rPr>
      </w:pPr>
    </w:p>
    <w:p w14:paraId="447B6850" w14:textId="77777777" w:rsidR="0096751E" w:rsidRDefault="0096751E" w:rsidP="0096751E">
      <w:pPr>
        <w:jc w:val="center"/>
        <w:rPr>
          <w:rFonts w:ascii="Arial" w:eastAsia="Times New Roman" w:hAnsi="Arial" w:cs="Arial"/>
          <w:b/>
          <w:color w:val="44546A" w:themeColor="text2"/>
          <w:lang w:eastAsia="es-CR"/>
        </w:rPr>
      </w:pPr>
    </w:p>
    <w:p w14:paraId="1E0FD9CA" w14:textId="083FA50D" w:rsidR="0096751E" w:rsidRDefault="0096751E" w:rsidP="0096751E">
      <w:pPr>
        <w:jc w:val="center"/>
        <w:rPr>
          <w:rFonts w:ascii="Arial" w:eastAsia="Times New Roman" w:hAnsi="Arial" w:cs="Arial"/>
          <w:b/>
          <w:color w:val="44546A" w:themeColor="text2"/>
          <w:lang w:eastAsia="es-CR"/>
        </w:rPr>
      </w:pPr>
    </w:p>
    <w:p w14:paraId="0CABAAD5" w14:textId="77777777" w:rsidR="0096751E" w:rsidRDefault="0096751E" w:rsidP="0096751E">
      <w:pPr>
        <w:jc w:val="center"/>
        <w:rPr>
          <w:rFonts w:ascii="Arial" w:eastAsia="Times New Roman" w:hAnsi="Arial" w:cs="Arial"/>
          <w:b/>
          <w:color w:val="44546A" w:themeColor="text2"/>
          <w:lang w:eastAsia="es-CR"/>
        </w:rPr>
      </w:pPr>
    </w:p>
    <w:p w14:paraId="15413B15" w14:textId="6122C9BC" w:rsidR="00727D5F" w:rsidRPr="00ED6BA8" w:rsidRDefault="00727D5F" w:rsidP="0096751E">
      <w:pPr>
        <w:jc w:val="center"/>
        <w:rPr>
          <w:rFonts w:ascii="Arial" w:eastAsia="Times New Roman" w:hAnsi="Arial" w:cs="Arial"/>
          <w:b/>
          <w:color w:val="44546A" w:themeColor="text2"/>
          <w:lang w:eastAsia="es-CR"/>
        </w:rPr>
      </w:pPr>
      <w:r w:rsidRPr="00ED6BA8">
        <w:rPr>
          <w:rFonts w:ascii="Arial" w:eastAsia="Times New Roman" w:hAnsi="Arial" w:cs="Arial"/>
          <w:b/>
          <w:color w:val="44546A" w:themeColor="text2"/>
          <w:lang w:eastAsia="es-CR"/>
        </w:rPr>
        <w:t>Tabla Nº</w:t>
      </w:r>
      <w:r w:rsidR="00000EAD">
        <w:rPr>
          <w:rFonts w:ascii="Arial" w:eastAsia="Times New Roman" w:hAnsi="Arial" w:cs="Arial"/>
          <w:b/>
          <w:color w:val="44546A" w:themeColor="text2"/>
          <w:lang w:eastAsia="es-CR"/>
        </w:rPr>
        <w:t>1</w:t>
      </w:r>
    </w:p>
    <w:p w14:paraId="02845DC3" w14:textId="77777777" w:rsidR="00727D5F" w:rsidRDefault="00CF77A9" w:rsidP="00966C3B">
      <w:pPr>
        <w:spacing w:line="240" w:lineRule="auto"/>
        <w:ind w:left="567" w:right="708"/>
        <w:contextualSpacing/>
        <w:jc w:val="center"/>
        <w:rPr>
          <w:rFonts w:ascii="Arial" w:eastAsia="Times New Roman" w:hAnsi="Arial" w:cs="Arial"/>
          <w:b/>
          <w:color w:val="44546A" w:themeColor="text2"/>
          <w:lang w:eastAsia="es-CR"/>
        </w:rPr>
      </w:pPr>
      <w:r>
        <w:rPr>
          <w:rFonts w:ascii="Arial" w:eastAsia="Times New Roman" w:hAnsi="Arial" w:cs="Arial"/>
          <w:b/>
          <w:color w:val="44546A" w:themeColor="text2"/>
          <w:lang w:eastAsia="es-CR"/>
        </w:rPr>
        <w:t xml:space="preserve">Ausencia </w:t>
      </w:r>
      <w:r w:rsidR="00727D5F">
        <w:rPr>
          <w:rFonts w:ascii="Arial" w:eastAsia="Times New Roman" w:hAnsi="Arial" w:cs="Arial"/>
          <w:b/>
          <w:color w:val="44546A" w:themeColor="text2"/>
          <w:lang w:eastAsia="es-CR"/>
        </w:rPr>
        <w:t>de documentación en el E</w:t>
      </w:r>
      <w:r w:rsidR="00727D5F" w:rsidRPr="00ED6BA8">
        <w:rPr>
          <w:rFonts w:ascii="Arial" w:eastAsia="Times New Roman" w:hAnsi="Arial" w:cs="Arial"/>
          <w:b/>
          <w:color w:val="44546A" w:themeColor="text2"/>
          <w:lang w:eastAsia="es-CR"/>
        </w:rPr>
        <w:t>xpediente</w:t>
      </w:r>
      <w:r w:rsidR="00727D5F">
        <w:rPr>
          <w:rFonts w:ascii="Arial" w:eastAsia="Times New Roman" w:hAnsi="Arial" w:cs="Arial"/>
          <w:b/>
          <w:color w:val="44546A" w:themeColor="text2"/>
          <w:lang w:eastAsia="es-CR"/>
        </w:rPr>
        <w:t xml:space="preserve"> E</w:t>
      </w:r>
      <w:r w:rsidR="00727D5F" w:rsidRPr="00ED6BA8">
        <w:rPr>
          <w:rFonts w:ascii="Arial" w:eastAsia="Times New Roman" w:hAnsi="Arial" w:cs="Arial"/>
          <w:b/>
          <w:color w:val="44546A" w:themeColor="text2"/>
          <w:lang w:eastAsia="es-CR"/>
        </w:rPr>
        <w:t>lectrónico del SICO</w:t>
      </w:r>
      <w:r w:rsidR="00002355">
        <w:rPr>
          <w:rFonts w:ascii="Arial" w:eastAsia="Times New Roman" w:hAnsi="Arial" w:cs="Arial"/>
          <w:b/>
          <w:color w:val="44546A" w:themeColor="text2"/>
          <w:lang w:eastAsia="es-CR"/>
        </w:rPr>
        <w:t xml:space="preserve">P </w:t>
      </w:r>
      <w:r w:rsidR="006B1F20">
        <w:rPr>
          <w:rFonts w:ascii="Arial" w:eastAsia="Times New Roman" w:hAnsi="Arial" w:cs="Arial"/>
          <w:b/>
          <w:color w:val="44546A" w:themeColor="text2"/>
          <w:lang w:eastAsia="es-CR"/>
        </w:rPr>
        <w:t>D</w:t>
      </w:r>
      <w:r w:rsidR="006B1F20" w:rsidRPr="00002355">
        <w:rPr>
          <w:rFonts w:ascii="Arial" w:eastAsia="Times New Roman" w:hAnsi="Arial" w:cs="Arial"/>
          <w:b/>
          <w:color w:val="44546A" w:themeColor="text2"/>
          <w:lang w:eastAsia="es-CR"/>
        </w:rPr>
        <w:t xml:space="preserve">e </w:t>
      </w:r>
      <w:r w:rsidR="00002355" w:rsidRPr="00002355">
        <w:rPr>
          <w:rFonts w:ascii="Arial" w:eastAsia="Times New Roman" w:hAnsi="Arial" w:cs="Arial"/>
          <w:b/>
          <w:color w:val="44546A" w:themeColor="text2"/>
          <w:lang w:eastAsia="es-CR"/>
        </w:rPr>
        <w:t>enero 2020 a diciembre 2021</w:t>
      </w:r>
    </w:p>
    <w:p w14:paraId="2B0DC01B" w14:textId="77777777" w:rsidR="00CF77A9" w:rsidRPr="003A5EEA" w:rsidRDefault="00CF77A9" w:rsidP="00727D5F">
      <w:pPr>
        <w:spacing w:line="276" w:lineRule="auto"/>
        <w:ind w:left="567" w:right="708"/>
        <w:contextualSpacing/>
        <w:jc w:val="center"/>
        <w:rPr>
          <w:rFonts w:ascii="Arial" w:eastAsia="Times New Roman" w:hAnsi="Arial" w:cs="Arial"/>
          <w:b/>
          <w:color w:val="44546A" w:themeColor="text2"/>
          <w:sz w:val="20"/>
          <w:szCs w:val="20"/>
          <w:lang w:eastAsia="es-CR"/>
        </w:rPr>
      </w:pPr>
    </w:p>
    <w:tbl>
      <w:tblPr>
        <w:tblW w:w="9354" w:type="dxa"/>
        <w:tblCellMar>
          <w:left w:w="70" w:type="dxa"/>
          <w:right w:w="70" w:type="dxa"/>
        </w:tblCellMar>
        <w:tblLook w:val="04A0" w:firstRow="1" w:lastRow="0" w:firstColumn="1" w:lastColumn="0" w:noHBand="0" w:noVBand="1"/>
      </w:tblPr>
      <w:tblGrid>
        <w:gridCol w:w="389"/>
        <w:gridCol w:w="1907"/>
        <w:gridCol w:w="2915"/>
        <w:gridCol w:w="4143"/>
      </w:tblGrid>
      <w:tr w:rsidR="00727D5F" w:rsidRPr="003A5EEA" w14:paraId="464C1DEB" w14:textId="77777777" w:rsidTr="003A5EEA">
        <w:trPr>
          <w:trHeight w:val="546"/>
          <w:tblHeader/>
        </w:trPr>
        <w:tc>
          <w:tcPr>
            <w:tcW w:w="38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498FA37A" w14:textId="77777777" w:rsidR="00727D5F" w:rsidRPr="003A5EEA" w:rsidRDefault="00727D5F" w:rsidP="00DA27B1">
            <w:pPr>
              <w:spacing w:line="240" w:lineRule="auto"/>
              <w:jc w:val="center"/>
              <w:rPr>
                <w:rFonts w:ascii="Arial" w:eastAsia="Times New Roman" w:hAnsi="Arial" w:cs="Arial"/>
                <w:b/>
                <w:bCs/>
                <w:color w:val="FFFFFF"/>
                <w:sz w:val="20"/>
                <w:szCs w:val="20"/>
                <w:lang w:eastAsia="es-CR"/>
              </w:rPr>
            </w:pPr>
            <w:r w:rsidRPr="003A5EEA">
              <w:rPr>
                <w:rFonts w:ascii="Arial" w:eastAsia="Times New Roman" w:hAnsi="Arial" w:cs="Arial"/>
                <w:b/>
                <w:bCs/>
                <w:color w:val="FFFFFF"/>
                <w:sz w:val="20"/>
                <w:szCs w:val="20"/>
                <w:lang w:eastAsia="es-CR"/>
              </w:rPr>
              <w:t>Nº</w:t>
            </w:r>
          </w:p>
        </w:tc>
        <w:tc>
          <w:tcPr>
            <w:tcW w:w="1907" w:type="dxa"/>
            <w:tcBorders>
              <w:top w:val="single" w:sz="4" w:space="0" w:color="auto"/>
              <w:left w:val="nil"/>
              <w:bottom w:val="single" w:sz="4" w:space="0" w:color="auto"/>
              <w:right w:val="single" w:sz="4" w:space="0" w:color="auto"/>
            </w:tcBorders>
            <w:shd w:val="clear" w:color="auto" w:fill="44546A" w:themeFill="text2"/>
            <w:vAlign w:val="center"/>
            <w:hideMark/>
          </w:tcPr>
          <w:p w14:paraId="267F5DBB" w14:textId="77777777" w:rsidR="00727D5F" w:rsidRPr="003A5EEA" w:rsidRDefault="00727D5F" w:rsidP="00DA27B1">
            <w:pPr>
              <w:spacing w:line="240" w:lineRule="auto"/>
              <w:jc w:val="center"/>
              <w:rPr>
                <w:rFonts w:ascii="Arial" w:eastAsia="Times New Roman" w:hAnsi="Arial" w:cs="Arial"/>
                <w:b/>
                <w:bCs/>
                <w:color w:val="FFFFFF"/>
                <w:sz w:val="20"/>
                <w:szCs w:val="20"/>
                <w:lang w:eastAsia="es-CR"/>
              </w:rPr>
            </w:pPr>
            <w:r w:rsidRPr="003A5EEA">
              <w:rPr>
                <w:rFonts w:ascii="Arial" w:eastAsia="Times New Roman" w:hAnsi="Arial" w:cs="Arial"/>
                <w:b/>
                <w:bCs/>
                <w:color w:val="FFFFFF"/>
                <w:sz w:val="20"/>
                <w:szCs w:val="20"/>
                <w:lang w:eastAsia="es-CR"/>
              </w:rPr>
              <w:t>N° procedimiento</w:t>
            </w:r>
          </w:p>
        </w:tc>
        <w:tc>
          <w:tcPr>
            <w:tcW w:w="2915" w:type="dxa"/>
            <w:tcBorders>
              <w:top w:val="single" w:sz="4" w:space="0" w:color="auto"/>
              <w:left w:val="nil"/>
              <w:bottom w:val="single" w:sz="4" w:space="0" w:color="auto"/>
              <w:right w:val="single" w:sz="4" w:space="0" w:color="auto"/>
            </w:tcBorders>
            <w:shd w:val="clear" w:color="auto" w:fill="44546A" w:themeFill="text2"/>
            <w:vAlign w:val="center"/>
            <w:hideMark/>
          </w:tcPr>
          <w:p w14:paraId="7F3BA3AD" w14:textId="77777777" w:rsidR="00727D5F" w:rsidRPr="003A5EEA" w:rsidRDefault="00727D5F" w:rsidP="00DA27B1">
            <w:pPr>
              <w:spacing w:line="240" w:lineRule="auto"/>
              <w:jc w:val="center"/>
              <w:rPr>
                <w:rFonts w:ascii="Arial" w:eastAsia="Times New Roman" w:hAnsi="Arial" w:cs="Arial"/>
                <w:b/>
                <w:bCs/>
                <w:color w:val="FFFFFF"/>
                <w:sz w:val="20"/>
                <w:szCs w:val="20"/>
                <w:lang w:eastAsia="es-CR"/>
              </w:rPr>
            </w:pPr>
            <w:r w:rsidRPr="003A5EEA">
              <w:rPr>
                <w:rFonts w:ascii="Arial" w:eastAsia="Times New Roman" w:hAnsi="Arial" w:cs="Arial"/>
                <w:b/>
                <w:bCs/>
                <w:color w:val="FFFFFF"/>
                <w:sz w:val="20"/>
                <w:szCs w:val="20"/>
                <w:lang w:eastAsia="es-CR"/>
              </w:rPr>
              <w:t>Descripción</w:t>
            </w:r>
          </w:p>
        </w:tc>
        <w:tc>
          <w:tcPr>
            <w:tcW w:w="4143" w:type="dxa"/>
            <w:tcBorders>
              <w:top w:val="nil"/>
              <w:left w:val="nil"/>
              <w:bottom w:val="single" w:sz="4" w:space="0" w:color="auto"/>
              <w:right w:val="nil"/>
            </w:tcBorders>
            <w:shd w:val="clear" w:color="auto" w:fill="44546A" w:themeFill="text2"/>
            <w:vAlign w:val="center"/>
            <w:hideMark/>
          </w:tcPr>
          <w:p w14:paraId="2E030E66" w14:textId="77777777" w:rsidR="00727D5F" w:rsidRPr="003A5EEA" w:rsidRDefault="00002355" w:rsidP="00DA27B1">
            <w:pPr>
              <w:spacing w:line="240" w:lineRule="auto"/>
              <w:jc w:val="center"/>
              <w:rPr>
                <w:rFonts w:ascii="Arial" w:eastAsia="Times New Roman" w:hAnsi="Arial" w:cs="Arial"/>
                <w:b/>
                <w:bCs/>
                <w:color w:val="FFFFFF"/>
                <w:sz w:val="20"/>
                <w:szCs w:val="20"/>
                <w:lang w:eastAsia="es-CR"/>
              </w:rPr>
            </w:pPr>
            <w:r w:rsidRPr="003A5EEA">
              <w:rPr>
                <w:rFonts w:ascii="Arial" w:eastAsia="Times New Roman" w:hAnsi="Arial" w:cs="Arial"/>
                <w:b/>
                <w:bCs/>
                <w:color w:val="FFFFFF"/>
                <w:sz w:val="20"/>
                <w:szCs w:val="20"/>
                <w:lang w:eastAsia="es-CR"/>
              </w:rPr>
              <w:t>Ausencia</w:t>
            </w:r>
          </w:p>
        </w:tc>
      </w:tr>
      <w:tr w:rsidR="00727D5F" w:rsidRPr="0094442E" w14:paraId="7095BF34" w14:textId="77777777" w:rsidTr="0096751E">
        <w:trPr>
          <w:trHeight w:val="150"/>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7124A96B" w14:textId="77777777" w:rsidR="00727D5F" w:rsidRPr="0094442E" w:rsidRDefault="0091318E" w:rsidP="00DA27B1">
            <w:pPr>
              <w:spacing w:line="240" w:lineRule="auto"/>
              <w:jc w:val="center"/>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1</w:t>
            </w:r>
          </w:p>
        </w:tc>
        <w:tc>
          <w:tcPr>
            <w:tcW w:w="1907" w:type="dxa"/>
            <w:tcBorders>
              <w:top w:val="nil"/>
              <w:left w:val="nil"/>
              <w:bottom w:val="single" w:sz="4" w:space="0" w:color="auto"/>
              <w:right w:val="single" w:sz="4" w:space="0" w:color="auto"/>
            </w:tcBorders>
            <w:shd w:val="clear" w:color="auto" w:fill="auto"/>
            <w:vAlign w:val="center"/>
          </w:tcPr>
          <w:p w14:paraId="2684610A" w14:textId="77777777" w:rsidR="00727D5F" w:rsidRPr="0094442E" w:rsidRDefault="004A41FA" w:rsidP="00DA27B1">
            <w:pPr>
              <w:spacing w:line="240" w:lineRule="auto"/>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2020LA-000005-0009100001</w:t>
            </w:r>
          </w:p>
        </w:tc>
        <w:tc>
          <w:tcPr>
            <w:tcW w:w="2915" w:type="dxa"/>
            <w:tcBorders>
              <w:top w:val="nil"/>
              <w:left w:val="nil"/>
              <w:bottom w:val="single" w:sz="4" w:space="0" w:color="auto"/>
              <w:right w:val="single" w:sz="4" w:space="0" w:color="auto"/>
            </w:tcBorders>
            <w:shd w:val="clear" w:color="auto" w:fill="auto"/>
            <w:vAlign w:val="center"/>
          </w:tcPr>
          <w:p w14:paraId="3F8B7727" w14:textId="77777777" w:rsidR="00727D5F" w:rsidRPr="0094442E" w:rsidRDefault="004A41FA" w:rsidP="002C1786">
            <w:pPr>
              <w:spacing w:line="240" w:lineRule="auto"/>
              <w:jc w:val="both"/>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Mantenimiento preventivo y correctivo de sistemas de aire acondicionado para diferentes dependencias del Ministerio de Hacienda.</w:t>
            </w:r>
          </w:p>
        </w:tc>
        <w:tc>
          <w:tcPr>
            <w:tcW w:w="4143" w:type="dxa"/>
            <w:tcBorders>
              <w:top w:val="nil"/>
              <w:left w:val="nil"/>
              <w:bottom w:val="single" w:sz="4" w:space="0" w:color="auto"/>
              <w:right w:val="single" w:sz="4" w:space="0" w:color="auto"/>
            </w:tcBorders>
            <w:shd w:val="clear" w:color="auto" w:fill="auto"/>
            <w:vAlign w:val="bottom"/>
          </w:tcPr>
          <w:p w14:paraId="6466E7AF" w14:textId="77777777" w:rsidR="005F0D88" w:rsidRPr="0094442E" w:rsidRDefault="004A41FA" w:rsidP="00DA27B1">
            <w:pPr>
              <w:spacing w:line="240" w:lineRule="auto"/>
              <w:jc w:val="both"/>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Las facturas</w:t>
            </w:r>
            <w:r w:rsidR="005F0D88" w:rsidRPr="0094442E">
              <w:rPr>
                <w:rFonts w:ascii="Arial" w:eastAsia="Times New Roman" w:hAnsi="Arial" w:cs="Arial"/>
                <w:color w:val="000000"/>
                <w:sz w:val="18"/>
                <w:szCs w:val="18"/>
                <w:lang w:eastAsia="es-CR"/>
              </w:rPr>
              <w:t xml:space="preserve"> </w:t>
            </w:r>
            <w:r w:rsidRPr="0094442E">
              <w:rPr>
                <w:rFonts w:ascii="Arial" w:eastAsia="Times New Roman" w:hAnsi="Arial" w:cs="Arial"/>
                <w:color w:val="000000"/>
                <w:sz w:val="18"/>
                <w:szCs w:val="18"/>
                <w:lang w:eastAsia="es-CR"/>
              </w:rPr>
              <w:t>por los bienes o servicios no se encuentran adecuadamente documentadas en el expediente</w:t>
            </w:r>
            <w:r w:rsidR="006F72D2" w:rsidRPr="0094442E">
              <w:rPr>
                <w:rFonts w:ascii="Arial" w:eastAsia="Times New Roman" w:hAnsi="Arial" w:cs="Arial"/>
                <w:color w:val="000000"/>
                <w:sz w:val="18"/>
                <w:szCs w:val="18"/>
                <w:lang w:eastAsia="es-CR"/>
              </w:rPr>
              <w:t>; por tanto, hay ausencia de documentación que evidencie la aplicación de los controles establecidos, de conformidad con lo</w:t>
            </w:r>
            <w:r w:rsidR="007042D5" w:rsidRPr="0094442E">
              <w:rPr>
                <w:rFonts w:ascii="Arial" w:eastAsia="Times New Roman" w:hAnsi="Arial" w:cs="Arial"/>
                <w:color w:val="000000"/>
                <w:sz w:val="18"/>
                <w:szCs w:val="18"/>
                <w:lang w:eastAsia="es-CR"/>
              </w:rPr>
              <w:t>s lineamientos emitidos</w:t>
            </w:r>
            <w:r w:rsidR="007042D5" w:rsidRPr="0094442E">
              <w:rPr>
                <w:rStyle w:val="Refdenotaalpie"/>
                <w:rFonts w:ascii="Arial" w:hAnsi="Arial" w:cs="Arial"/>
                <w:sz w:val="18"/>
                <w:szCs w:val="18"/>
              </w:rPr>
              <w:footnoteReference w:id="11"/>
            </w:r>
            <w:r w:rsidR="007042D5" w:rsidRPr="0094442E">
              <w:rPr>
                <w:rFonts w:ascii="Arial" w:eastAsia="Times New Roman" w:hAnsi="Arial" w:cs="Arial"/>
                <w:color w:val="000000"/>
                <w:sz w:val="18"/>
                <w:szCs w:val="18"/>
                <w:lang w:eastAsia="es-CR"/>
              </w:rPr>
              <w:t>.</w:t>
            </w:r>
          </w:p>
        </w:tc>
      </w:tr>
      <w:tr w:rsidR="009C68C2" w:rsidRPr="0094442E" w14:paraId="5E78974E" w14:textId="77777777" w:rsidTr="003A5EEA">
        <w:trPr>
          <w:trHeight w:val="1592"/>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BD52E3E" w14:textId="77777777" w:rsidR="009C68C2" w:rsidRPr="0094442E" w:rsidRDefault="00652913" w:rsidP="00DA27B1">
            <w:pPr>
              <w:spacing w:line="240" w:lineRule="auto"/>
              <w:jc w:val="center"/>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2</w:t>
            </w:r>
          </w:p>
        </w:tc>
        <w:tc>
          <w:tcPr>
            <w:tcW w:w="1907" w:type="dxa"/>
            <w:tcBorders>
              <w:top w:val="nil"/>
              <w:left w:val="nil"/>
              <w:bottom w:val="single" w:sz="4" w:space="0" w:color="auto"/>
              <w:right w:val="single" w:sz="4" w:space="0" w:color="auto"/>
            </w:tcBorders>
            <w:shd w:val="clear" w:color="auto" w:fill="auto"/>
            <w:vAlign w:val="center"/>
          </w:tcPr>
          <w:p w14:paraId="7C5BE034" w14:textId="77777777" w:rsidR="009C68C2" w:rsidRPr="0094442E" w:rsidRDefault="009C68C2" w:rsidP="00DA27B1">
            <w:pPr>
              <w:spacing w:line="240" w:lineRule="auto"/>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2020LN-000005-0009100001</w:t>
            </w:r>
          </w:p>
        </w:tc>
        <w:tc>
          <w:tcPr>
            <w:tcW w:w="2915" w:type="dxa"/>
            <w:tcBorders>
              <w:top w:val="nil"/>
              <w:left w:val="nil"/>
              <w:bottom w:val="single" w:sz="4" w:space="0" w:color="auto"/>
              <w:right w:val="single" w:sz="4" w:space="0" w:color="auto"/>
            </w:tcBorders>
            <w:shd w:val="clear" w:color="auto" w:fill="auto"/>
            <w:vAlign w:val="center"/>
          </w:tcPr>
          <w:p w14:paraId="6BB5295E" w14:textId="77777777" w:rsidR="009C68C2" w:rsidRPr="0094442E" w:rsidRDefault="009C68C2" w:rsidP="00F56939">
            <w:pPr>
              <w:spacing w:line="240" w:lineRule="auto"/>
              <w:jc w:val="both"/>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Mantenimiento preventivo y correctivo de la flotilla vehicular del Ministerio de Hacienda.</w:t>
            </w:r>
          </w:p>
        </w:tc>
        <w:tc>
          <w:tcPr>
            <w:tcW w:w="4143" w:type="dxa"/>
            <w:tcBorders>
              <w:top w:val="nil"/>
              <w:left w:val="nil"/>
              <w:bottom w:val="single" w:sz="4" w:space="0" w:color="auto"/>
              <w:right w:val="single" w:sz="4" w:space="0" w:color="auto"/>
            </w:tcBorders>
            <w:shd w:val="clear" w:color="auto" w:fill="auto"/>
            <w:vAlign w:val="bottom"/>
          </w:tcPr>
          <w:p w14:paraId="2000EC5E" w14:textId="77777777" w:rsidR="00DA27B1" w:rsidRPr="0094442E" w:rsidRDefault="007042D5" w:rsidP="00CF040E">
            <w:pPr>
              <w:spacing w:line="240" w:lineRule="auto"/>
              <w:jc w:val="both"/>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Las facturas por los bienes o servicios no se encuentran adecuadamente documentadas en el expediente; por tanto, hay ausencia de documentación que evidencie la aplicación de los controles establecidos, de conformidad con los lineamientos emitidos</w:t>
            </w:r>
            <w:r w:rsidRPr="0094442E">
              <w:rPr>
                <w:sz w:val="18"/>
                <w:szCs w:val="18"/>
              </w:rPr>
              <w:t>.</w:t>
            </w:r>
          </w:p>
        </w:tc>
      </w:tr>
      <w:tr w:rsidR="009C68C2" w:rsidRPr="0094442E" w14:paraId="0616D80E" w14:textId="77777777" w:rsidTr="003A5EEA">
        <w:trPr>
          <w:trHeight w:val="1598"/>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53517E46" w14:textId="77777777" w:rsidR="009C68C2" w:rsidRPr="0094442E" w:rsidRDefault="00652913" w:rsidP="00DA27B1">
            <w:pPr>
              <w:spacing w:line="240" w:lineRule="auto"/>
              <w:jc w:val="center"/>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3</w:t>
            </w:r>
          </w:p>
        </w:tc>
        <w:tc>
          <w:tcPr>
            <w:tcW w:w="1907" w:type="dxa"/>
            <w:tcBorders>
              <w:top w:val="nil"/>
              <w:left w:val="nil"/>
              <w:bottom w:val="single" w:sz="4" w:space="0" w:color="auto"/>
              <w:right w:val="single" w:sz="4" w:space="0" w:color="auto"/>
            </w:tcBorders>
            <w:shd w:val="clear" w:color="auto" w:fill="auto"/>
            <w:vAlign w:val="center"/>
          </w:tcPr>
          <w:p w14:paraId="786635B1" w14:textId="77777777" w:rsidR="009C68C2" w:rsidRPr="0094442E" w:rsidRDefault="009C68C2" w:rsidP="00DA27B1">
            <w:pPr>
              <w:spacing w:line="240" w:lineRule="auto"/>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2021CD-000014-0009100001</w:t>
            </w:r>
          </w:p>
        </w:tc>
        <w:tc>
          <w:tcPr>
            <w:tcW w:w="2915" w:type="dxa"/>
            <w:tcBorders>
              <w:top w:val="nil"/>
              <w:left w:val="nil"/>
              <w:bottom w:val="single" w:sz="4" w:space="0" w:color="auto"/>
              <w:right w:val="single" w:sz="4" w:space="0" w:color="auto"/>
            </w:tcBorders>
            <w:shd w:val="clear" w:color="auto" w:fill="auto"/>
            <w:vAlign w:val="center"/>
          </w:tcPr>
          <w:p w14:paraId="0426C795" w14:textId="77777777" w:rsidR="009C68C2" w:rsidRPr="0094442E" w:rsidRDefault="002E48AB" w:rsidP="00F56939">
            <w:pPr>
              <w:spacing w:line="240" w:lineRule="auto"/>
              <w:jc w:val="both"/>
              <w:rPr>
                <w:rFonts w:ascii="Arial" w:eastAsia="Times New Roman" w:hAnsi="Arial" w:cs="Arial"/>
                <w:color w:val="000000"/>
                <w:sz w:val="18"/>
                <w:szCs w:val="18"/>
                <w:lang w:eastAsia="es-CR"/>
              </w:rPr>
            </w:pPr>
            <w:hyperlink r:id="rId14" w:history="1">
              <w:r w:rsidR="009C68C2" w:rsidRPr="0094442E">
                <w:rPr>
                  <w:rFonts w:ascii="Arial" w:eastAsia="Times New Roman" w:hAnsi="Arial" w:cs="Arial"/>
                  <w:color w:val="000000"/>
                  <w:sz w:val="18"/>
                  <w:szCs w:val="18"/>
                  <w:lang w:eastAsia="es-CR"/>
                </w:rPr>
                <w:t>Servicio de Reparación de Vehículos</w:t>
              </w:r>
            </w:hyperlink>
            <w:r w:rsidR="009C68C2" w:rsidRPr="0094442E">
              <w:rPr>
                <w:rFonts w:ascii="Arial" w:eastAsia="Times New Roman" w:hAnsi="Arial" w:cs="Arial"/>
                <w:color w:val="000000"/>
                <w:sz w:val="18"/>
                <w:szCs w:val="18"/>
                <w:lang w:eastAsia="es-CR"/>
              </w:rPr>
              <w:t>.</w:t>
            </w:r>
          </w:p>
        </w:tc>
        <w:tc>
          <w:tcPr>
            <w:tcW w:w="4143" w:type="dxa"/>
            <w:tcBorders>
              <w:top w:val="nil"/>
              <w:left w:val="nil"/>
              <w:bottom w:val="single" w:sz="4" w:space="0" w:color="auto"/>
              <w:right w:val="single" w:sz="4" w:space="0" w:color="auto"/>
            </w:tcBorders>
            <w:shd w:val="clear" w:color="auto" w:fill="auto"/>
            <w:vAlign w:val="center"/>
          </w:tcPr>
          <w:p w14:paraId="5EC35167" w14:textId="77777777" w:rsidR="009C68C2" w:rsidRPr="0094442E" w:rsidRDefault="007042D5" w:rsidP="00DA27B1">
            <w:pPr>
              <w:spacing w:line="240" w:lineRule="auto"/>
              <w:jc w:val="both"/>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Las facturas por los bienes o servicios no se encuentran adecuadamente documentadas en el expediente; por tanto, hay ausencia de documentación que evidencie la aplicación de los controles establecidos, de conformidad con los lineamientos emitidos</w:t>
            </w:r>
            <w:r w:rsidRPr="0094442E">
              <w:rPr>
                <w:sz w:val="18"/>
                <w:szCs w:val="18"/>
              </w:rPr>
              <w:t>.</w:t>
            </w:r>
          </w:p>
        </w:tc>
      </w:tr>
      <w:tr w:rsidR="009C68C2" w:rsidRPr="0094442E" w14:paraId="5D41E6C8" w14:textId="77777777" w:rsidTr="003A5EEA">
        <w:trPr>
          <w:trHeight w:val="1009"/>
        </w:trPr>
        <w:tc>
          <w:tcPr>
            <w:tcW w:w="389" w:type="dxa"/>
            <w:tcBorders>
              <w:top w:val="nil"/>
              <w:left w:val="single" w:sz="4" w:space="0" w:color="auto"/>
              <w:bottom w:val="single" w:sz="4" w:space="0" w:color="auto"/>
              <w:right w:val="single" w:sz="4" w:space="0" w:color="auto"/>
            </w:tcBorders>
            <w:shd w:val="clear" w:color="auto" w:fill="auto"/>
            <w:vAlign w:val="center"/>
            <w:hideMark/>
          </w:tcPr>
          <w:p w14:paraId="356B3953" w14:textId="77777777" w:rsidR="009C68C2" w:rsidRPr="0094442E" w:rsidRDefault="00652913" w:rsidP="00DA27B1">
            <w:pPr>
              <w:spacing w:line="240" w:lineRule="auto"/>
              <w:jc w:val="center"/>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4</w:t>
            </w:r>
          </w:p>
        </w:tc>
        <w:tc>
          <w:tcPr>
            <w:tcW w:w="1907" w:type="dxa"/>
            <w:tcBorders>
              <w:top w:val="nil"/>
              <w:left w:val="nil"/>
              <w:bottom w:val="single" w:sz="4" w:space="0" w:color="auto"/>
              <w:right w:val="single" w:sz="4" w:space="0" w:color="auto"/>
            </w:tcBorders>
            <w:shd w:val="clear" w:color="auto" w:fill="auto"/>
            <w:vAlign w:val="center"/>
          </w:tcPr>
          <w:p w14:paraId="6D82ED61" w14:textId="77777777" w:rsidR="009C68C2" w:rsidRPr="0094442E" w:rsidRDefault="009C68C2" w:rsidP="00DA27B1">
            <w:pPr>
              <w:spacing w:line="240" w:lineRule="auto"/>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2021CD-000050-0009100001</w:t>
            </w:r>
          </w:p>
        </w:tc>
        <w:tc>
          <w:tcPr>
            <w:tcW w:w="2915" w:type="dxa"/>
            <w:tcBorders>
              <w:top w:val="nil"/>
              <w:left w:val="nil"/>
              <w:bottom w:val="single" w:sz="4" w:space="0" w:color="auto"/>
              <w:right w:val="single" w:sz="4" w:space="0" w:color="auto"/>
            </w:tcBorders>
            <w:shd w:val="clear" w:color="auto" w:fill="auto"/>
            <w:vAlign w:val="center"/>
          </w:tcPr>
          <w:p w14:paraId="52D9A656" w14:textId="77777777" w:rsidR="009C68C2" w:rsidRPr="0094442E" w:rsidRDefault="009C68C2" w:rsidP="00DA27B1">
            <w:pPr>
              <w:spacing w:line="240" w:lineRule="auto"/>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Compra e instalación de barrera automática para control de tránsito SN.</w:t>
            </w:r>
          </w:p>
        </w:tc>
        <w:tc>
          <w:tcPr>
            <w:tcW w:w="4143" w:type="dxa"/>
            <w:tcBorders>
              <w:top w:val="nil"/>
              <w:left w:val="nil"/>
              <w:bottom w:val="single" w:sz="4" w:space="0" w:color="auto"/>
              <w:right w:val="single" w:sz="4" w:space="0" w:color="auto"/>
            </w:tcBorders>
            <w:shd w:val="clear" w:color="auto" w:fill="auto"/>
            <w:vAlign w:val="center"/>
          </w:tcPr>
          <w:p w14:paraId="02CF1414" w14:textId="77777777" w:rsidR="007042D5" w:rsidRPr="0094442E" w:rsidRDefault="007042D5" w:rsidP="00DA27B1">
            <w:pPr>
              <w:spacing w:line="240" w:lineRule="auto"/>
              <w:jc w:val="both"/>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Las facturas por los bienes o servicios no se encuentran adecuadamente documentadas en el expediente.</w:t>
            </w:r>
          </w:p>
        </w:tc>
      </w:tr>
      <w:tr w:rsidR="00652913" w:rsidRPr="0094442E" w14:paraId="4F336E14" w14:textId="77777777" w:rsidTr="003A5EEA">
        <w:trPr>
          <w:trHeight w:val="3628"/>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14:paraId="443F643E" w14:textId="77777777" w:rsidR="00652913" w:rsidRPr="0094442E" w:rsidRDefault="00652913" w:rsidP="00652913">
            <w:pPr>
              <w:spacing w:line="240" w:lineRule="auto"/>
              <w:jc w:val="center"/>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5</w:t>
            </w:r>
          </w:p>
        </w:tc>
        <w:tc>
          <w:tcPr>
            <w:tcW w:w="1907" w:type="dxa"/>
            <w:tcBorders>
              <w:top w:val="single" w:sz="4" w:space="0" w:color="auto"/>
              <w:left w:val="nil"/>
              <w:bottom w:val="single" w:sz="4" w:space="0" w:color="auto"/>
              <w:right w:val="single" w:sz="4" w:space="0" w:color="auto"/>
            </w:tcBorders>
            <w:shd w:val="clear" w:color="auto" w:fill="auto"/>
            <w:vAlign w:val="center"/>
          </w:tcPr>
          <w:p w14:paraId="4EF58A58" w14:textId="77777777" w:rsidR="00652913" w:rsidRPr="0094442E" w:rsidRDefault="00652913" w:rsidP="00652913">
            <w:pPr>
              <w:spacing w:line="240" w:lineRule="auto"/>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2020CD-000044-0009100001</w:t>
            </w:r>
          </w:p>
        </w:tc>
        <w:tc>
          <w:tcPr>
            <w:tcW w:w="2915" w:type="dxa"/>
            <w:tcBorders>
              <w:top w:val="single" w:sz="4" w:space="0" w:color="auto"/>
              <w:left w:val="nil"/>
              <w:bottom w:val="single" w:sz="4" w:space="0" w:color="auto"/>
              <w:right w:val="single" w:sz="4" w:space="0" w:color="auto"/>
            </w:tcBorders>
            <w:shd w:val="clear" w:color="auto" w:fill="auto"/>
            <w:vAlign w:val="center"/>
          </w:tcPr>
          <w:p w14:paraId="3CC93A6B" w14:textId="77777777" w:rsidR="00652913" w:rsidRPr="0094442E" w:rsidRDefault="00652913" w:rsidP="00F56939">
            <w:pPr>
              <w:spacing w:line="240" w:lineRule="auto"/>
              <w:jc w:val="both"/>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Reemplazo de Sistema de Tuberías para agua potable para el Edificio Central del Ministerio de Hacienda.</w:t>
            </w:r>
          </w:p>
        </w:tc>
        <w:tc>
          <w:tcPr>
            <w:tcW w:w="4143" w:type="dxa"/>
            <w:tcBorders>
              <w:top w:val="single" w:sz="4" w:space="0" w:color="auto"/>
              <w:left w:val="nil"/>
              <w:bottom w:val="single" w:sz="4" w:space="0" w:color="auto"/>
              <w:right w:val="single" w:sz="4" w:space="0" w:color="auto"/>
            </w:tcBorders>
            <w:shd w:val="clear" w:color="auto" w:fill="auto"/>
            <w:vAlign w:val="center"/>
          </w:tcPr>
          <w:p w14:paraId="0ED2FCA8" w14:textId="5B0D1A84" w:rsidR="00652913" w:rsidRPr="0094442E" w:rsidRDefault="00652913" w:rsidP="00652913">
            <w:pPr>
              <w:spacing w:line="240" w:lineRule="auto"/>
              <w:jc w:val="both"/>
              <w:rPr>
                <w:rFonts w:ascii="Arial" w:eastAsia="Times New Roman" w:hAnsi="Arial" w:cs="Arial"/>
                <w:color w:val="000000"/>
                <w:sz w:val="18"/>
                <w:szCs w:val="18"/>
                <w:lang w:eastAsia="es-CR"/>
              </w:rPr>
            </w:pPr>
            <w:r w:rsidRPr="0094442E">
              <w:rPr>
                <w:rFonts w:ascii="Arial" w:eastAsia="Times New Roman" w:hAnsi="Arial" w:cs="Arial"/>
                <w:color w:val="000000"/>
                <w:sz w:val="18"/>
                <w:szCs w:val="18"/>
                <w:lang w:eastAsia="es-CR"/>
              </w:rPr>
              <w:t xml:space="preserve">No se determina con claridad la vinculación de la necesidad planteada con la planificación de mediano y largo plazo y los Planes Anuales de Desarrollo y Anual Operativo. Adicionalmente, en el apartado de la solicitud de pedido del 2/07/2020 se indica que se incluyó el Cronograma de Actividades, no obstante, </w:t>
            </w:r>
            <w:r w:rsidR="00F56939" w:rsidRPr="0094442E">
              <w:rPr>
                <w:rFonts w:ascii="Arial" w:eastAsia="Times New Roman" w:hAnsi="Arial" w:cs="Arial"/>
                <w:color w:val="000000"/>
                <w:sz w:val="18"/>
                <w:szCs w:val="18"/>
                <w:lang w:eastAsia="es-CR"/>
              </w:rPr>
              <w:t xml:space="preserve">dicho cronograma </w:t>
            </w:r>
            <w:r w:rsidRPr="0094442E">
              <w:rPr>
                <w:rFonts w:ascii="Arial" w:eastAsia="Times New Roman" w:hAnsi="Arial" w:cs="Arial"/>
                <w:color w:val="000000"/>
                <w:sz w:val="18"/>
                <w:szCs w:val="18"/>
                <w:lang w:eastAsia="es-CR"/>
              </w:rPr>
              <w:t>no está adjunto. Asimismo, en el apartado de la solicitud de pedido, no se determina la estimación actualizada del costo del objeto contractual (Estudio Referencial de Precios Unitarios); sin embargo, este documento con fecha de emisión del 24/04/2020, se incluyó posteriormente en el apartado N.9 denominado "Información relacionada" el 19</w:t>
            </w:r>
            <w:r w:rsidR="00F56939" w:rsidRPr="0094442E">
              <w:rPr>
                <w:rFonts w:ascii="Arial" w:eastAsia="Times New Roman" w:hAnsi="Arial" w:cs="Arial"/>
                <w:color w:val="000000"/>
                <w:sz w:val="18"/>
                <w:szCs w:val="18"/>
                <w:lang w:eastAsia="es-CR"/>
              </w:rPr>
              <w:t>/</w:t>
            </w:r>
            <w:r w:rsidRPr="0094442E">
              <w:rPr>
                <w:rFonts w:ascii="Arial" w:eastAsia="Times New Roman" w:hAnsi="Arial" w:cs="Arial"/>
                <w:color w:val="000000"/>
                <w:sz w:val="18"/>
                <w:szCs w:val="18"/>
                <w:lang w:eastAsia="es-CR"/>
              </w:rPr>
              <w:t>10</w:t>
            </w:r>
            <w:r w:rsidR="00F56939" w:rsidRPr="0094442E">
              <w:rPr>
                <w:rFonts w:ascii="Arial" w:eastAsia="Times New Roman" w:hAnsi="Arial" w:cs="Arial"/>
                <w:color w:val="000000"/>
                <w:sz w:val="18"/>
                <w:szCs w:val="18"/>
                <w:lang w:eastAsia="es-CR"/>
              </w:rPr>
              <w:t>/</w:t>
            </w:r>
            <w:r w:rsidRPr="0094442E">
              <w:rPr>
                <w:rFonts w:ascii="Arial" w:eastAsia="Times New Roman" w:hAnsi="Arial" w:cs="Arial"/>
                <w:color w:val="000000"/>
                <w:sz w:val="18"/>
                <w:szCs w:val="18"/>
                <w:lang w:eastAsia="es-CR"/>
              </w:rPr>
              <w:t>2020.</w:t>
            </w:r>
          </w:p>
        </w:tc>
      </w:tr>
    </w:tbl>
    <w:p w14:paraId="0312E630" w14:textId="77777777" w:rsidR="00727D5F" w:rsidRPr="00BD1D22" w:rsidRDefault="00727D5F" w:rsidP="00727D5F">
      <w:pPr>
        <w:pStyle w:val="Textosinformato"/>
        <w:spacing w:line="276" w:lineRule="auto"/>
        <w:ind w:left="204"/>
        <w:jc w:val="both"/>
        <w:rPr>
          <w:rFonts w:ascii="Arial" w:hAnsi="Arial" w:cs="Arial"/>
          <w:sz w:val="18"/>
          <w:szCs w:val="18"/>
        </w:rPr>
      </w:pPr>
      <w:r w:rsidRPr="00955F74">
        <w:rPr>
          <w:rFonts w:ascii="Arial" w:eastAsia="Times New Roman" w:hAnsi="Arial" w:cs="Arial"/>
          <w:b/>
          <w:sz w:val="18"/>
          <w:szCs w:val="18"/>
          <w:lang w:val="es-ES_tradnl" w:eastAsia="es-CR"/>
        </w:rPr>
        <w:t xml:space="preserve">Fuente: </w:t>
      </w:r>
      <w:r w:rsidRPr="00955F74">
        <w:rPr>
          <w:rFonts w:ascii="Arial" w:eastAsia="Times New Roman" w:hAnsi="Arial" w:cs="Arial"/>
          <w:color w:val="000000"/>
          <w:sz w:val="18"/>
          <w:szCs w:val="18"/>
          <w:lang w:val="es-ES_tradnl" w:eastAsia="es-CR"/>
        </w:rPr>
        <w:t xml:space="preserve">Elaboración propia a partir de la información contenida en el Sistema Integrado de Compras Públicas </w:t>
      </w:r>
      <w:r>
        <w:rPr>
          <w:rFonts w:ascii="Arial" w:eastAsia="Times New Roman" w:hAnsi="Arial" w:cs="Arial"/>
          <w:color w:val="000000"/>
          <w:sz w:val="18"/>
          <w:szCs w:val="18"/>
          <w:lang w:val="es-ES_tradnl" w:eastAsia="es-CR"/>
        </w:rPr>
        <w:t>(</w:t>
      </w:r>
      <w:r w:rsidRPr="00955F74">
        <w:rPr>
          <w:rFonts w:ascii="Arial" w:eastAsia="Times New Roman" w:hAnsi="Arial" w:cs="Arial"/>
          <w:color w:val="000000"/>
          <w:sz w:val="18"/>
          <w:szCs w:val="18"/>
          <w:lang w:val="es-ES_tradnl" w:eastAsia="es-CR"/>
        </w:rPr>
        <w:t>SICOP)</w:t>
      </w:r>
      <w:r w:rsidRPr="00BD1D22">
        <w:rPr>
          <w:rFonts w:ascii="Arial" w:eastAsia="Times New Roman" w:hAnsi="Arial" w:cs="Arial"/>
          <w:color w:val="000000"/>
          <w:sz w:val="18"/>
          <w:szCs w:val="18"/>
          <w:lang w:val="es-ES_tradnl" w:eastAsia="es-CR"/>
        </w:rPr>
        <w:t>.</w:t>
      </w:r>
    </w:p>
    <w:p w14:paraId="7121E75F" w14:textId="77777777" w:rsidR="0094442E" w:rsidRDefault="0094442E" w:rsidP="00CF040E">
      <w:pPr>
        <w:spacing w:after="0" w:line="240" w:lineRule="auto"/>
        <w:contextualSpacing/>
        <w:jc w:val="both"/>
        <w:rPr>
          <w:rFonts w:ascii="Arial" w:hAnsi="Arial" w:cs="Arial"/>
        </w:rPr>
      </w:pPr>
    </w:p>
    <w:p w14:paraId="5B5C7E66" w14:textId="081A39A3" w:rsidR="00DA7916" w:rsidRPr="00CF040E" w:rsidRDefault="00DE55C6" w:rsidP="00CF040E">
      <w:pPr>
        <w:spacing w:after="0" w:line="240" w:lineRule="auto"/>
        <w:contextualSpacing/>
        <w:jc w:val="both"/>
        <w:rPr>
          <w:rFonts w:ascii="Arial" w:hAnsi="Arial" w:cs="Arial"/>
        </w:rPr>
      </w:pPr>
      <w:r w:rsidRPr="00CF040E">
        <w:rPr>
          <w:rFonts w:ascii="Arial" w:hAnsi="Arial" w:cs="Arial"/>
        </w:rPr>
        <w:lastRenderedPageBreak/>
        <w:t xml:space="preserve">La causa de esta situación obedece a </w:t>
      </w:r>
      <w:r w:rsidR="00DA7916" w:rsidRPr="00CF040E">
        <w:rPr>
          <w:rFonts w:ascii="Arial" w:hAnsi="Arial" w:cs="Arial"/>
        </w:rPr>
        <w:t>la falta de controles que garanticen razonablemente la inclusión correcta y completa de la información en el expediente de los sistemas de compras</w:t>
      </w:r>
      <w:r w:rsidRPr="00CF040E">
        <w:rPr>
          <w:rFonts w:ascii="Arial" w:hAnsi="Arial" w:cs="Arial"/>
        </w:rPr>
        <w:t>, más allá de los lineamientos internos que se han emitido al respecto</w:t>
      </w:r>
      <w:r w:rsidR="00DA7916" w:rsidRPr="00CF040E">
        <w:rPr>
          <w:rFonts w:ascii="Arial" w:hAnsi="Arial" w:cs="Arial"/>
        </w:rPr>
        <w:t>.</w:t>
      </w:r>
    </w:p>
    <w:p w14:paraId="0669F494" w14:textId="77777777" w:rsidR="00806C5F" w:rsidRPr="00CF040E" w:rsidRDefault="00806C5F" w:rsidP="00CF040E">
      <w:pPr>
        <w:spacing w:after="0" w:line="240" w:lineRule="auto"/>
        <w:contextualSpacing/>
        <w:jc w:val="both"/>
        <w:rPr>
          <w:rFonts w:ascii="Arial" w:hAnsi="Arial" w:cs="Arial"/>
        </w:rPr>
      </w:pPr>
    </w:p>
    <w:p w14:paraId="29D87AAE" w14:textId="2DDC11D2" w:rsidR="000E1B14" w:rsidRPr="00CF040E" w:rsidRDefault="00DA7916" w:rsidP="00CF040E">
      <w:pPr>
        <w:spacing w:after="0" w:line="240" w:lineRule="auto"/>
        <w:contextualSpacing/>
        <w:jc w:val="both"/>
        <w:rPr>
          <w:rFonts w:ascii="Arial" w:hAnsi="Arial" w:cs="Arial"/>
        </w:rPr>
      </w:pPr>
      <w:r w:rsidRPr="00CF040E">
        <w:rPr>
          <w:rFonts w:ascii="Arial" w:hAnsi="Arial" w:cs="Arial"/>
        </w:rPr>
        <w:t xml:space="preserve">La situación antes expuesta, genera el riesgo de que no se pueda ubicar de manera fácil, ordenada y segura la totalidad de los documentos que respaldan el proceso, consecuentemente </w:t>
      </w:r>
      <w:r w:rsidR="007A42E3">
        <w:rPr>
          <w:rFonts w:ascii="Arial" w:hAnsi="Arial" w:cs="Arial"/>
        </w:rPr>
        <w:t xml:space="preserve">no garantiza </w:t>
      </w:r>
      <w:r w:rsidRPr="00CF040E">
        <w:rPr>
          <w:rFonts w:ascii="Arial" w:hAnsi="Arial" w:cs="Arial"/>
        </w:rPr>
        <w:t xml:space="preserve">a los participantes en la contratación y entes fiscalizadores, </w:t>
      </w:r>
      <w:r w:rsidR="007A42E3">
        <w:rPr>
          <w:rFonts w:ascii="Arial" w:hAnsi="Arial" w:cs="Arial"/>
        </w:rPr>
        <w:t>de que el expediente puesto a disposición este completo, donde se pueda observar toda la trazabilidad del proceso</w:t>
      </w:r>
      <w:r w:rsidR="00F56939">
        <w:rPr>
          <w:rFonts w:ascii="Arial" w:hAnsi="Arial" w:cs="Arial"/>
        </w:rPr>
        <w:t>, afectando el proceso de rendición de cuentas</w:t>
      </w:r>
      <w:r w:rsidR="007A42E3">
        <w:rPr>
          <w:rFonts w:ascii="Arial" w:hAnsi="Arial" w:cs="Arial"/>
        </w:rPr>
        <w:t>.</w:t>
      </w:r>
      <w:r w:rsidR="007C3349">
        <w:rPr>
          <w:rFonts w:ascii="Arial" w:hAnsi="Arial" w:cs="Arial"/>
        </w:rPr>
        <w:t xml:space="preserve"> </w:t>
      </w:r>
    </w:p>
    <w:p w14:paraId="6CD0FCFE" w14:textId="6B92DCB4" w:rsidR="0094442E" w:rsidRDefault="0094442E" w:rsidP="00DA7916">
      <w:pPr>
        <w:spacing w:after="0" w:line="240" w:lineRule="auto"/>
        <w:contextualSpacing/>
        <w:jc w:val="both"/>
        <w:rPr>
          <w:rFonts w:ascii="Arial" w:hAnsi="Arial" w:cs="Arial"/>
        </w:rPr>
      </w:pPr>
    </w:p>
    <w:p w14:paraId="6DAD9DF8" w14:textId="5D39A593" w:rsidR="00DA7916" w:rsidRPr="0030748B" w:rsidRDefault="00DA7916" w:rsidP="000E36F7">
      <w:pPr>
        <w:pStyle w:val="Ttulo1"/>
        <w:keepNext w:val="0"/>
        <w:keepLines w:val="0"/>
        <w:numPr>
          <w:ilvl w:val="1"/>
          <w:numId w:val="19"/>
        </w:numPr>
        <w:spacing w:before="0" w:after="0"/>
        <w:ind w:left="567" w:right="51" w:hanging="567"/>
        <w:contextualSpacing/>
        <w:jc w:val="both"/>
        <w:rPr>
          <w:rFonts w:ascii="Arial" w:hAnsi="Arial" w:cs="Arial"/>
          <w:b/>
          <w:bCs/>
          <w:color w:val="44546A"/>
          <w:kern w:val="28"/>
          <w:sz w:val="24"/>
          <w:szCs w:val="24"/>
          <w:lang w:eastAsia="es-ES"/>
        </w:rPr>
      </w:pPr>
      <w:bookmarkStart w:id="93" w:name="_Toc103849933"/>
      <w:bookmarkStart w:id="94" w:name="_Toc108431903"/>
      <w:bookmarkEnd w:id="91"/>
      <w:r w:rsidRPr="000E36F7">
        <w:rPr>
          <w:rFonts w:ascii="Arial" w:hAnsi="Arial" w:cs="Arial"/>
          <w:b/>
          <w:color w:val="44546A" w:themeColor="text2"/>
          <w:sz w:val="24"/>
          <w:szCs w:val="24"/>
          <w:lang w:val="es-ES_tradnl" w:eastAsia="es-ES"/>
        </w:rPr>
        <w:t xml:space="preserve">Monitoreo de la </w:t>
      </w:r>
      <w:r w:rsidR="00F56939">
        <w:rPr>
          <w:rFonts w:ascii="Arial" w:hAnsi="Arial" w:cs="Arial"/>
          <w:b/>
          <w:color w:val="44546A" w:themeColor="text2"/>
          <w:sz w:val="24"/>
          <w:szCs w:val="24"/>
          <w:lang w:val="es-ES_tradnl" w:eastAsia="es-ES"/>
        </w:rPr>
        <w:t>C</w:t>
      </w:r>
      <w:r w:rsidRPr="000E36F7">
        <w:rPr>
          <w:rFonts w:ascii="Arial" w:hAnsi="Arial" w:cs="Arial"/>
          <w:b/>
          <w:color w:val="44546A" w:themeColor="text2"/>
          <w:sz w:val="24"/>
          <w:szCs w:val="24"/>
          <w:lang w:val="es-ES_tradnl" w:eastAsia="es-ES"/>
        </w:rPr>
        <w:t xml:space="preserve">oncentración de </w:t>
      </w:r>
      <w:r w:rsidR="00F56939">
        <w:rPr>
          <w:rFonts w:ascii="Arial" w:hAnsi="Arial" w:cs="Arial"/>
          <w:b/>
          <w:color w:val="44546A" w:themeColor="text2"/>
          <w:sz w:val="24"/>
          <w:szCs w:val="24"/>
          <w:lang w:val="es-ES_tradnl" w:eastAsia="es-ES"/>
        </w:rPr>
        <w:t>P</w:t>
      </w:r>
      <w:r w:rsidRPr="000E36F7">
        <w:rPr>
          <w:rFonts w:ascii="Arial" w:hAnsi="Arial" w:cs="Arial"/>
          <w:b/>
          <w:color w:val="44546A" w:themeColor="text2"/>
          <w:sz w:val="24"/>
          <w:szCs w:val="24"/>
          <w:lang w:val="es-ES_tradnl" w:eastAsia="es-ES"/>
        </w:rPr>
        <w:t>roveedores</w:t>
      </w:r>
      <w:bookmarkEnd w:id="93"/>
      <w:bookmarkEnd w:id="94"/>
    </w:p>
    <w:p w14:paraId="38921939" w14:textId="77777777" w:rsidR="00DA7916" w:rsidRDefault="00DA7916" w:rsidP="00DA7916">
      <w:pPr>
        <w:spacing w:after="0" w:line="240" w:lineRule="auto"/>
        <w:contextualSpacing/>
        <w:jc w:val="both"/>
        <w:rPr>
          <w:rFonts w:ascii="Arial" w:hAnsi="Arial" w:cs="Arial"/>
          <w:sz w:val="24"/>
          <w:szCs w:val="24"/>
        </w:rPr>
      </w:pPr>
    </w:p>
    <w:p w14:paraId="57DE695C" w14:textId="222E171E" w:rsidR="00DA7916" w:rsidRPr="00574C77" w:rsidRDefault="00DA7916" w:rsidP="00DA7916">
      <w:pPr>
        <w:spacing w:after="0" w:line="240" w:lineRule="auto"/>
        <w:contextualSpacing/>
        <w:jc w:val="both"/>
        <w:rPr>
          <w:rFonts w:ascii="Arial" w:hAnsi="Arial" w:cs="Arial"/>
        </w:rPr>
      </w:pPr>
      <w:r w:rsidRPr="00920383">
        <w:rPr>
          <w:rFonts w:ascii="Arial" w:hAnsi="Arial" w:cs="Arial"/>
        </w:rPr>
        <w:t>Las Norma de control interno para el Sector Público</w:t>
      </w:r>
      <w:r w:rsidR="005F4B1F">
        <w:rPr>
          <w:rFonts w:ascii="Arial" w:hAnsi="Arial" w:cs="Arial"/>
        </w:rPr>
        <w:t>,</w:t>
      </w:r>
      <w:r w:rsidRPr="00920383">
        <w:rPr>
          <w:rFonts w:ascii="Arial" w:hAnsi="Arial" w:cs="Arial"/>
        </w:rPr>
        <w:t xml:space="preserve"> </w:t>
      </w:r>
      <w:r w:rsidR="00423E90">
        <w:rPr>
          <w:rFonts w:ascii="Arial" w:hAnsi="Arial" w:cs="Arial"/>
        </w:rPr>
        <w:t xml:space="preserve">referente al </w:t>
      </w:r>
      <w:r w:rsidR="00F56939" w:rsidRPr="00F56939">
        <w:rPr>
          <w:rFonts w:ascii="Arial" w:hAnsi="Arial" w:cs="Arial"/>
        </w:rPr>
        <w:t>c</w:t>
      </w:r>
      <w:r w:rsidRPr="00920383">
        <w:rPr>
          <w:rFonts w:ascii="Arial" w:hAnsi="Arial" w:cs="Arial"/>
        </w:rPr>
        <w:t>umplimiento del ordenamiento jurídico y técnico</w:t>
      </w:r>
      <w:r>
        <w:rPr>
          <w:rFonts w:ascii="Arial" w:hAnsi="Arial" w:cs="Arial"/>
        </w:rPr>
        <w:t xml:space="preserve">, </w:t>
      </w:r>
      <w:r w:rsidR="00F56939">
        <w:rPr>
          <w:rFonts w:ascii="Arial" w:hAnsi="Arial" w:cs="Arial"/>
        </w:rPr>
        <w:t xml:space="preserve">señala </w:t>
      </w:r>
      <w:r w:rsidRPr="00920383">
        <w:rPr>
          <w:rFonts w:ascii="Arial" w:hAnsi="Arial" w:cs="Arial"/>
        </w:rPr>
        <w:t>lo siguiente:</w:t>
      </w:r>
    </w:p>
    <w:p w14:paraId="0A7CDD78" w14:textId="77777777" w:rsidR="004177D0" w:rsidRDefault="004177D0" w:rsidP="00DA7916">
      <w:pPr>
        <w:spacing w:after="0" w:line="240" w:lineRule="auto"/>
        <w:contextualSpacing/>
        <w:jc w:val="both"/>
        <w:rPr>
          <w:rFonts w:ascii="Arial" w:hAnsi="Arial" w:cs="Arial"/>
          <w:i/>
        </w:rPr>
      </w:pPr>
    </w:p>
    <w:p w14:paraId="7348FF69" w14:textId="77777777" w:rsidR="004177D0" w:rsidRPr="004177D0" w:rsidRDefault="006B1F20" w:rsidP="00402DA9">
      <w:pPr>
        <w:spacing w:after="0" w:line="240" w:lineRule="auto"/>
        <w:ind w:left="708" w:right="709"/>
        <w:contextualSpacing/>
        <w:jc w:val="both"/>
        <w:rPr>
          <w:rFonts w:ascii="Arial" w:hAnsi="Arial" w:cs="Arial"/>
          <w:i/>
        </w:rPr>
      </w:pPr>
      <w:r>
        <w:rPr>
          <w:rFonts w:ascii="Arial" w:hAnsi="Arial" w:cs="Arial"/>
          <w:i/>
        </w:rPr>
        <w:t>“</w:t>
      </w:r>
      <w:r w:rsidR="004177D0" w:rsidRPr="004177D0">
        <w:rPr>
          <w:rFonts w:ascii="Arial" w:hAnsi="Arial" w:cs="Arial"/>
          <w:i/>
        </w:rPr>
        <w:t>4.1 Actividades de control. El jerarca y los titulares subordinados, según sus competencias, deben diseñar, adoptar, evaluar y perfeccionar, como parte del SCI, las actividades de control pertinentes, las que comprenden las políticas, los procedimientos y los mecanismos que contribuyen a asegurar razonablemente la operación y el fortalecimiento del SCI y el logro de los objetivos institucionales</w:t>
      </w:r>
      <w:r>
        <w:rPr>
          <w:rFonts w:ascii="Arial" w:hAnsi="Arial" w:cs="Arial"/>
          <w:i/>
        </w:rPr>
        <w:t>..</w:t>
      </w:r>
      <w:r w:rsidR="004177D0" w:rsidRPr="004177D0">
        <w:rPr>
          <w:rFonts w:ascii="Arial" w:hAnsi="Arial" w:cs="Arial"/>
          <w:i/>
        </w:rPr>
        <w:t>.</w:t>
      </w:r>
      <w:r>
        <w:rPr>
          <w:rFonts w:ascii="Arial" w:hAnsi="Arial" w:cs="Arial"/>
          <w:i/>
        </w:rPr>
        <w:t>”</w:t>
      </w:r>
      <w:r w:rsidR="004177D0" w:rsidRPr="004177D0">
        <w:rPr>
          <w:rFonts w:ascii="Arial" w:hAnsi="Arial" w:cs="Arial"/>
          <w:i/>
        </w:rPr>
        <w:t xml:space="preserve"> </w:t>
      </w:r>
    </w:p>
    <w:p w14:paraId="527B4F89" w14:textId="77777777" w:rsidR="00DA7916" w:rsidRDefault="00DA7916" w:rsidP="00DA7916">
      <w:pPr>
        <w:spacing w:after="0" w:line="240" w:lineRule="auto"/>
        <w:ind w:left="708" w:right="709"/>
        <w:contextualSpacing/>
        <w:jc w:val="both"/>
        <w:rPr>
          <w:rFonts w:ascii="Arial" w:hAnsi="Arial" w:cs="Arial"/>
          <w:i/>
        </w:rPr>
      </w:pPr>
    </w:p>
    <w:p w14:paraId="59B729BA" w14:textId="2CF39980" w:rsidR="00F82FC3" w:rsidRDefault="001526EC" w:rsidP="00F82FC3">
      <w:pPr>
        <w:spacing w:after="0" w:line="240" w:lineRule="auto"/>
        <w:contextualSpacing/>
        <w:jc w:val="both"/>
        <w:rPr>
          <w:rFonts w:ascii="Arial" w:hAnsi="Arial" w:cs="Arial"/>
        </w:rPr>
      </w:pPr>
      <w:r>
        <w:rPr>
          <w:rFonts w:ascii="Arial" w:hAnsi="Arial" w:cs="Arial"/>
        </w:rPr>
        <w:t>Respecto a la concentración de proveedores</w:t>
      </w:r>
      <w:r w:rsidR="008F7657" w:rsidRPr="008F7657">
        <w:rPr>
          <w:rFonts w:ascii="Arial" w:hAnsi="Arial" w:cs="Arial"/>
        </w:rPr>
        <w:t xml:space="preserve"> </w:t>
      </w:r>
      <w:r w:rsidR="008F7657" w:rsidRPr="0080392A">
        <w:rPr>
          <w:rFonts w:ascii="Arial" w:hAnsi="Arial" w:cs="Arial"/>
        </w:rPr>
        <w:t>en los diferentes procesos de contratación del Ministerio de Hacienda</w:t>
      </w:r>
      <w:r>
        <w:rPr>
          <w:rFonts w:ascii="Arial" w:hAnsi="Arial" w:cs="Arial"/>
        </w:rPr>
        <w:t xml:space="preserve">, aun cuando </w:t>
      </w:r>
      <w:r w:rsidRPr="0080392A">
        <w:rPr>
          <w:rFonts w:ascii="Arial" w:hAnsi="Arial" w:cs="Arial"/>
        </w:rPr>
        <w:t>no se identific</w:t>
      </w:r>
      <w:r>
        <w:rPr>
          <w:rFonts w:ascii="Arial" w:hAnsi="Arial" w:cs="Arial"/>
        </w:rPr>
        <w:t>ó este tipo de</w:t>
      </w:r>
      <w:r w:rsidRPr="0080392A">
        <w:rPr>
          <w:rFonts w:ascii="Arial" w:hAnsi="Arial" w:cs="Arial"/>
        </w:rPr>
        <w:t xml:space="preserve"> concentración</w:t>
      </w:r>
      <w:r>
        <w:rPr>
          <w:rFonts w:ascii="Arial" w:hAnsi="Arial" w:cs="Arial"/>
        </w:rPr>
        <w:t xml:space="preserve"> se determinó </w:t>
      </w:r>
      <w:r w:rsidR="00F82FC3" w:rsidRPr="0080392A">
        <w:rPr>
          <w:rFonts w:ascii="Arial" w:hAnsi="Arial" w:cs="Arial"/>
        </w:rPr>
        <w:t xml:space="preserve">la </w:t>
      </w:r>
      <w:r>
        <w:rPr>
          <w:rFonts w:ascii="Arial" w:hAnsi="Arial" w:cs="Arial"/>
        </w:rPr>
        <w:t xml:space="preserve">necesidad de que se establezca </w:t>
      </w:r>
      <w:r w:rsidR="008F7657">
        <w:rPr>
          <w:rFonts w:ascii="Arial" w:hAnsi="Arial" w:cs="Arial"/>
        </w:rPr>
        <w:t xml:space="preserve">un mecanismo de control fomente la transparencia y que a la vez </w:t>
      </w:r>
      <w:r w:rsidR="00F82FC3" w:rsidRPr="0080392A">
        <w:rPr>
          <w:rFonts w:ascii="Arial" w:hAnsi="Arial" w:cs="Arial"/>
        </w:rPr>
        <w:t>permita monitorear a aquellos proveedores que han sido contratados reiteradamente</w:t>
      </w:r>
      <w:r w:rsidR="008F7657">
        <w:rPr>
          <w:rFonts w:ascii="Arial" w:hAnsi="Arial" w:cs="Arial"/>
        </w:rPr>
        <w:t>, en aras de mitigar que este posible riesgo se materialice.</w:t>
      </w:r>
    </w:p>
    <w:p w14:paraId="6C9F2182" w14:textId="77777777" w:rsidR="0080392A" w:rsidRPr="002164E0" w:rsidRDefault="0080392A" w:rsidP="002164E0">
      <w:pPr>
        <w:spacing w:after="0" w:line="240" w:lineRule="auto"/>
        <w:contextualSpacing/>
        <w:jc w:val="both"/>
        <w:rPr>
          <w:rFonts w:ascii="Arial" w:hAnsi="Arial" w:cs="Arial"/>
        </w:rPr>
      </w:pPr>
    </w:p>
    <w:p w14:paraId="5F88858E" w14:textId="2FFA5E6D" w:rsidR="00DA7916" w:rsidRPr="002164E0" w:rsidRDefault="00DA7916" w:rsidP="002164E0">
      <w:pPr>
        <w:spacing w:after="0" w:line="240" w:lineRule="auto"/>
        <w:contextualSpacing/>
        <w:jc w:val="both"/>
        <w:rPr>
          <w:rFonts w:ascii="Arial" w:hAnsi="Arial" w:cs="Arial"/>
        </w:rPr>
      </w:pPr>
      <w:r w:rsidRPr="002164E0">
        <w:rPr>
          <w:rFonts w:ascii="Arial" w:hAnsi="Arial" w:cs="Arial"/>
        </w:rPr>
        <w:t xml:space="preserve">Lo </w:t>
      </w:r>
      <w:r w:rsidR="00DE55C6" w:rsidRPr="002164E0">
        <w:rPr>
          <w:rFonts w:ascii="Arial" w:hAnsi="Arial" w:cs="Arial"/>
        </w:rPr>
        <w:t>antes citado</w:t>
      </w:r>
      <w:r w:rsidRPr="002164E0">
        <w:rPr>
          <w:rFonts w:ascii="Arial" w:hAnsi="Arial" w:cs="Arial"/>
        </w:rPr>
        <w:t xml:space="preserve">, se debe a que </w:t>
      </w:r>
      <w:r w:rsidR="00423E90">
        <w:rPr>
          <w:rFonts w:ascii="Arial" w:hAnsi="Arial" w:cs="Arial"/>
        </w:rPr>
        <w:t xml:space="preserve">la Proveeduría </w:t>
      </w:r>
      <w:r w:rsidR="00A466B5">
        <w:rPr>
          <w:rFonts w:ascii="Arial" w:hAnsi="Arial" w:cs="Arial"/>
        </w:rPr>
        <w:t>Inst</w:t>
      </w:r>
      <w:r w:rsidR="00620CC4">
        <w:rPr>
          <w:rFonts w:ascii="Arial" w:hAnsi="Arial" w:cs="Arial"/>
        </w:rPr>
        <w:t>it</w:t>
      </w:r>
      <w:r w:rsidR="00A466B5">
        <w:rPr>
          <w:rFonts w:ascii="Arial" w:hAnsi="Arial" w:cs="Arial"/>
        </w:rPr>
        <w:t xml:space="preserve">ucional </w:t>
      </w:r>
      <w:r w:rsidR="00A466B5" w:rsidRPr="002164E0">
        <w:rPr>
          <w:rFonts w:ascii="Arial" w:hAnsi="Arial" w:cs="Arial"/>
        </w:rPr>
        <w:t>no</w:t>
      </w:r>
      <w:r w:rsidRPr="002164E0">
        <w:rPr>
          <w:rFonts w:ascii="Arial" w:hAnsi="Arial" w:cs="Arial"/>
        </w:rPr>
        <w:t xml:space="preserve"> tiene </w:t>
      </w:r>
      <w:r w:rsidR="00167357">
        <w:rPr>
          <w:rFonts w:ascii="Arial" w:hAnsi="Arial" w:cs="Arial"/>
        </w:rPr>
        <w:t>como parte de sus instrumentos de trabajo la realización de un análisis periódico</w:t>
      </w:r>
      <w:r w:rsidR="0074479D">
        <w:rPr>
          <w:rFonts w:ascii="Arial" w:hAnsi="Arial" w:cs="Arial"/>
        </w:rPr>
        <w:t>, ya sea manual o automatizado,</w:t>
      </w:r>
      <w:r w:rsidR="00167357">
        <w:rPr>
          <w:rFonts w:ascii="Arial" w:hAnsi="Arial" w:cs="Arial"/>
        </w:rPr>
        <w:t xml:space="preserve"> relacionado </w:t>
      </w:r>
      <w:r w:rsidR="00641C3F">
        <w:rPr>
          <w:rFonts w:ascii="Arial" w:hAnsi="Arial" w:cs="Arial"/>
        </w:rPr>
        <w:t xml:space="preserve">con </w:t>
      </w:r>
      <w:r w:rsidR="00641C3F" w:rsidRPr="002164E0">
        <w:rPr>
          <w:rFonts w:ascii="Arial" w:hAnsi="Arial" w:cs="Arial"/>
        </w:rPr>
        <w:t>la</w:t>
      </w:r>
      <w:r w:rsidRPr="002164E0">
        <w:rPr>
          <w:rFonts w:ascii="Arial" w:hAnsi="Arial" w:cs="Arial"/>
        </w:rPr>
        <w:t xml:space="preserve"> concentración de proveedores.</w:t>
      </w:r>
    </w:p>
    <w:p w14:paraId="13787281" w14:textId="77777777" w:rsidR="00DA7916" w:rsidRPr="002164E0" w:rsidRDefault="00DA7916" w:rsidP="002164E0">
      <w:pPr>
        <w:spacing w:after="0" w:line="240" w:lineRule="auto"/>
        <w:contextualSpacing/>
        <w:jc w:val="both"/>
        <w:rPr>
          <w:rFonts w:ascii="Arial" w:hAnsi="Arial" w:cs="Arial"/>
        </w:rPr>
      </w:pPr>
    </w:p>
    <w:p w14:paraId="0ECD7125" w14:textId="0B61F120" w:rsidR="00DA7916" w:rsidRPr="004C7A8D" w:rsidRDefault="004C7A8D" w:rsidP="00FA6338">
      <w:pPr>
        <w:spacing w:after="0" w:line="240" w:lineRule="auto"/>
        <w:contextualSpacing/>
        <w:jc w:val="both"/>
        <w:rPr>
          <w:rFonts w:ascii="Arial" w:hAnsi="Arial" w:cs="Arial"/>
        </w:rPr>
      </w:pPr>
      <w:r>
        <w:rPr>
          <w:rFonts w:ascii="Arial" w:hAnsi="Arial" w:cs="Arial"/>
        </w:rPr>
        <w:t>Por consiguiente</w:t>
      </w:r>
      <w:r w:rsidR="00DE55C6" w:rsidRPr="004C7A8D">
        <w:rPr>
          <w:rFonts w:ascii="Arial" w:hAnsi="Arial" w:cs="Arial"/>
        </w:rPr>
        <w:t>, a</w:t>
      </w:r>
      <w:r w:rsidR="00DA7916" w:rsidRPr="004C7A8D">
        <w:rPr>
          <w:rFonts w:ascii="Arial" w:hAnsi="Arial" w:cs="Arial"/>
        </w:rPr>
        <w:t>l no existir un análisis o control que permita identificar concentración de proveedores, limita al M</w:t>
      </w:r>
      <w:r w:rsidR="00DE55C6" w:rsidRPr="004C7A8D">
        <w:rPr>
          <w:rFonts w:ascii="Arial" w:hAnsi="Arial" w:cs="Arial"/>
        </w:rPr>
        <w:t xml:space="preserve">inisterio de </w:t>
      </w:r>
      <w:r w:rsidR="00DA7916" w:rsidRPr="004C7A8D">
        <w:rPr>
          <w:rFonts w:ascii="Arial" w:hAnsi="Arial" w:cs="Arial"/>
        </w:rPr>
        <w:t>H</w:t>
      </w:r>
      <w:r w:rsidR="00DE55C6" w:rsidRPr="004C7A8D">
        <w:rPr>
          <w:rFonts w:ascii="Arial" w:hAnsi="Arial" w:cs="Arial"/>
        </w:rPr>
        <w:t>acienda</w:t>
      </w:r>
      <w:r w:rsidR="00DA7916" w:rsidRPr="004C7A8D">
        <w:rPr>
          <w:rFonts w:ascii="Arial" w:hAnsi="Arial" w:cs="Arial"/>
        </w:rPr>
        <w:t xml:space="preserve"> mitigar el riesgo de posibles fraudes o el debilitamiento del control interno y actos de corrupción</w:t>
      </w:r>
      <w:r>
        <w:rPr>
          <w:rFonts w:ascii="Arial" w:hAnsi="Arial" w:cs="Arial"/>
        </w:rPr>
        <w:t>.</w:t>
      </w:r>
    </w:p>
    <w:p w14:paraId="32B7F368" w14:textId="02BD0F17" w:rsidR="0094442E" w:rsidRDefault="0094442E" w:rsidP="00BA1863">
      <w:pPr>
        <w:pStyle w:val="Ttulo1"/>
        <w:keepNext w:val="0"/>
        <w:keepLines w:val="0"/>
        <w:spacing w:before="0" w:after="0"/>
        <w:contextualSpacing/>
        <w:rPr>
          <w:rFonts w:ascii="Arial" w:hAnsi="Arial" w:cs="Arial"/>
          <w:b/>
          <w:bCs/>
          <w:color w:val="44546A" w:themeColor="text2"/>
          <w:kern w:val="28"/>
          <w:sz w:val="28"/>
          <w:szCs w:val="28"/>
          <w:lang w:eastAsia="es-ES"/>
        </w:rPr>
      </w:pPr>
      <w:bookmarkStart w:id="95" w:name="_Toc90467933"/>
      <w:bookmarkEnd w:id="87"/>
    </w:p>
    <w:p w14:paraId="400FEFEF" w14:textId="27B70141" w:rsidR="00A136E4" w:rsidRDefault="00BA1863" w:rsidP="00BA1863">
      <w:pPr>
        <w:pStyle w:val="Ttulo1"/>
        <w:keepNext w:val="0"/>
        <w:keepLines w:val="0"/>
        <w:spacing w:before="0" w:after="0"/>
        <w:contextualSpacing/>
        <w:rPr>
          <w:rFonts w:ascii="Arial" w:hAnsi="Arial" w:cs="Arial"/>
          <w:b/>
          <w:bCs/>
          <w:color w:val="44546A" w:themeColor="text2"/>
          <w:kern w:val="28"/>
          <w:sz w:val="28"/>
          <w:szCs w:val="28"/>
          <w:lang w:eastAsia="es-ES"/>
        </w:rPr>
      </w:pPr>
      <w:bookmarkStart w:id="96" w:name="_Toc108431904"/>
      <w:r>
        <w:rPr>
          <w:rFonts w:ascii="Arial" w:hAnsi="Arial" w:cs="Arial"/>
          <w:b/>
          <w:bCs/>
          <w:color w:val="44546A" w:themeColor="text2"/>
          <w:kern w:val="28"/>
          <w:sz w:val="28"/>
          <w:szCs w:val="28"/>
          <w:lang w:eastAsia="es-ES"/>
        </w:rPr>
        <w:t xml:space="preserve">3. </w:t>
      </w:r>
      <w:r w:rsidR="00A136E4" w:rsidRPr="009D775C">
        <w:rPr>
          <w:rFonts w:ascii="Arial" w:hAnsi="Arial" w:cs="Arial"/>
          <w:b/>
          <w:bCs/>
          <w:color w:val="44546A" w:themeColor="text2"/>
          <w:kern w:val="28"/>
          <w:sz w:val="28"/>
          <w:szCs w:val="28"/>
          <w:lang w:eastAsia="es-ES"/>
        </w:rPr>
        <w:t>CONCLUSI</w:t>
      </w:r>
      <w:r>
        <w:rPr>
          <w:rFonts w:ascii="Arial" w:hAnsi="Arial" w:cs="Arial"/>
          <w:b/>
          <w:bCs/>
          <w:color w:val="44546A" w:themeColor="text2"/>
          <w:kern w:val="28"/>
          <w:sz w:val="28"/>
          <w:szCs w:val="28"/>
          <w:lang w:eastAsia="es-ES"/>
        </w:rPr>
        <w:t>Ó</w:t>
      </w:r>
      <w:r w:rsidR="00A136E4" w:rsidRPr="009D775C">
        <w:rPr>
          <w:rFonts w:ascii="Arial" w:hAnsi="Arial" w:cs="Arial"/>
          <w:b/>
          <w:bCs/>
          <w:color w:val="44546A" w:themeColor="text2"/>
          <w:kern w:val="28"/>
          <w:sz w:val="28"/>
          <w:szCs w:val="28"/>
          <w:lang w:eastAsia="es-ES"/>
        </w:rPr>
        <w:t>N</w:t>
      </w:r>
      <w:bookmarkEnd w:id="95"/>
      <w:bookmarkEnd w:id="96"/>
    </w:p>
    <w:p w14:paraId="3E746C21" w14:textId="77777777" w:rsidR="00A56082" w:rsidRDefault="00A56082" w:rsidP="00A56082">
      <w:pPr>
        <w:pStyle w:val="Sinespaciado"/>
      </w:pPr>
    </w:p>
    <w:p w14:paraId="2D997C33" w14:textId="77777777" w:rsidR="0074479D" w:rsidRDefault="00102225" w:rsidP="0091318E">
      <w:pPr>
        <w:spacing w:line="240" w:lineRule="auto"/>
        <w:jc w:val="both"/>
        <w:rPr>
          <w:rFonts w:ascii="Arial" w:hAnsi="Arial" w:cs="Arial"/>
        </w:rPr>
      </w:pPr>
      <w:r w:rsidRPr="00A56082">
        <w:rPr>
          <w:rFonts w:ascii="Arial" w:hAnsi="Arial" w:cs="Arial"/>
        </w:rPr>
        <w:t>El proceso de Contratación Administrativa que realiza la Proveeduría Institucional cumple en general con el marco normativo</w:t>
      </w:r>
      <w:r w:rsidR="0074479D">
        <w:rPr>
          <w:rFonts w:ascii="Arial" w:hAnsi="Arial" w:cs="Arial"/>
        </w:rPr>
        <w:t>;</w:t>
      </w:r>
      <w:r w:rsidRPr="00A56082">
        <w:rPr>
          <w:rFonts w:ascii="Arial" w:hAnsi="Arial" w:cs="Arial"/>
        </w:rPr>
        <w:t xml:space="preserve"> </w:t>
      </w:r>
      <w:r w:rsidR="0074479D">
        <w:rPr>
          <w:rFonts w:ascii="Arial" w:hAnsi="Arial" w:cs="Arial"/>
        </w:rPr>
        <w:t>n</w:t>
      </w:r>
      <w:r w:rsidRPr="00A56082">
        <w:rPr>
          <w:rFonts w:ascii="Arial" w:hAnsi="Arial" w:cs="Arial"/>
        </w:rPr>
        <w:t xml:space="preserve">o obstante, conforme los resultados expuestos existen vulnerabilidades que requieren ajustes </w:t>
      </w:r>
      <w:r w:rsidR="00FE6427">
        <w:rPr>
          <w:rFonts w:ascii="Arial" w:hAnsi="Arial" w:cs="Arial"/>
        </w:rPr>
        <w:t>en</w:t>
      </w:r>
      <w:r w:rsidRPr="00A56082">
        <w:rPr>
          <w:rFonts w:ascii="Arial" w:hAnsi="Arial" w:cs="Arial"/>
        </w:rPr>
        <w:t xml:space="preserve"> los mecanismos de control establecidos, </w:t>
      </w:r>
      <w:r w:rsidR="00FE6427">
        <w:rPr>
          <w:rFonts w:ascii="Arial" w:hAnsi="Arial" w:cs="Arial"/>
        </w:rPr>
        <w:t>ya que hay p</w:t>
      </w:r>
      <w:r w:rsidR="00EE1607">
        <w:rPr>
          <w:rFonts w:ascii="Arial" w:hAnsi="Arial" w:cs="Arial"/>
        </w:rPr>
        <w:t>rocesos</w:t>
      </w:r>
      <w:r w:rsidR="00FE6427">
        <w:rPr>
          <w:rFonts w:ascii="Arial" w:hAnsi="Arial" w:cs="Arial"/>
        </w:rPr>
        <w:t xml:space="preserve"> administrativos que omitieron el </w:t>
      </w:r>
      <w:r w:rsidR="00FE6427" w:rsidRPr="00FE6427">
        <w:rPr>
          <w:rFonts w:ascii="Arial" w:hAnsi="Arial" w:cs="Arial"/>
        </w:rPr>
        <w:t>cronograma con las tareas y los responsables de su ejecución</w:t>
      </w:r>
      <w:r w:rsidR="003134D1">
        <w:rPr>
          <w:rFonts w:ascii="Arial" w:hAnsi="Arial" w:cs="Arial"/>
        </w:rPr>
        <w:t xml:space="preserve">, </w:t>
      </w:r>
      <w:r w:rsidR="00EE1607">
        <w:rPr>
          <w:rFonts w:ascii="Arial" w:hAnsi="Arial" w:cs="Arial"/>
        </w:rPr>
        <w:t>la</w:t>
      </w:r>
      <w:r w:rsidR="00FE6427">
        <w:rPr>
          <w:rFonts w:ascii="Arial" w:hAnsi="Arial" w:cs="Arial"/>
        </w:rPr>
        <w:t xml:space="preserve"> </w:t>
      </w:r>
      <w:r w:rsidR="00EE1607" w:rsidRPr="00EE1607">
        <w:rPr>
          <w:rFonts w:ascii="Arial" w:hAnsi="Arial" w:cs="Arial"/>
        </w:rPr>
        <w:t>bitácora y</w:t>
      </w:r>
      <w:r w:rsidR="003134D1">
        <w:rPr>
          <w:rFonts w:ascii="Arial" w:hAnsi="Arial" w:cs="Arial"/>
        </w:rPr>
        <w:t xml:space="preserve"> la</w:t>
      </w:r>
      <w:r w:rsidR="00EE1607" w:rsidRPr="00EE1607">
        <w:rPr>
          <w:rFonts w:ascii="Arial" w:hAnsi="Arial" w:cs="Arial"/>
        </w:rPr>
        <w:t xml:space="preserve"> </w:t>
      </w:r>
      <w:r w:rsidR="003134D1">
        <w:rPr>
          <w:rFonts w:ascii="Arial" w:hAnsi="Arial" w:cs="Arial"/>
        </w:rPr>
        <w:t>l</w:t>
      </w:r>
      <w:r w:rsidR="00EE1607" w:rsidRPr="00EE1607">
        <w:rPr>
          <w:rFonts w:ascii="Arial" w:hAnsi="Arial" w:cs="Arial"/>
        </w:rPr>
        <w:t>ista de verificación</w:t>
      </w:r>
      <w:r w:rsidR="00EE1607">
        <w:rPr>
          <w:rFonts w:ascii="Arial" w:hAnsi="Arial" w:cs="Arial"/>
        </w:rPr>
        <w:t xml:space="preserve">. </w:t>
      </w:r>
    </w:p>
    <w:p w14:paraId="6D93BF91" w14:textId="77777777" w:rsidR="0074479D" w:rsidRDefault="003134D1" w:rsidP="0091318E">
      <w:pPr>
        <w:spacing w:line="240" w:lineRule="auto"/>
        <w:jc w:val="both"/>
        <w:rPr>
          <w:rFonts w:ascii="Arial" w:hAnsi="Arial" w:cs="Arial"/>
        </w:rPr>
      </w:pPr>
      <w:r>
        <w:rPr>
          <w:rFonts w:ascii="Arial" w:hAnsi="Arial" w:cs="Arial"/>
        </w:rPr>
        <w:t>Asimismo,</w:t>
      </w:r>
      <w:r w:rsidRPr="003134D1">
        <w:rPr>
          <w:rFonts w:ascii="Arial" w:hAnsi="Arial" w:cs="Arial"/>
        </w:rPr>
        <w:t xml:space="preserve"> </w:t>
      </w:r>
      <w:r>
        <w:rPr>
          <w:rFonts w:ascii="Arial" w:hAnsi="Arial" w:cs="Arial"/>
        </w:rPr>
        <w:t xml:space="preserve">se determinó la omisión </w:t>
      </w:r>
      <w:r w:rsidRPr="003134D1">
        <w:rPr>
          <w:rFonts w:ascii="Arial" w:hAnsi="Arial" w:cs="Arial"/>
        </w:rPr>
        <w:t xml:space="preserve">a través de una firma, </w:t>
      </w:r>
      <w:r>
        <w:rPr>
          <w:rFonts w:ascii="Arial" w:hAnsi="Arial" w:cs="Arial"/>
        </w:rPr>
        <w:t>d</w:t>
      </w:r>
      <w:r w:rsidRPr="003134D1">
        <w:rPr>
          <w:rFonts w:ascii="Arial" w:hAnsi="Arial" w:cs="Arial"/>
        </w:rPr>
        <w:t>el sustento de la autorización y aprobación del documento</w:t>
      </w:r>
      <w:r>
        <w:rPr>
          <w:rFonts w:ascii="Arial" w:hAnsi="Arial" w:cs="Arial"/>
        </w:rPr>
        <w:t xml:space="preserve"> final</w:t>
      </w:r>
      <w:r w:rsidRPr="003134D1">
        <w:rPr>
          <w:rFonts w:ascii="Arial" w:hAnsi="Arial" w:cs="Arial"/>
        </w:rPr>
        <w:t xml:space="preserve"> denominado “Especificaciones técnicas y condiciones generales”</w:t>
      </w:r>
      <w:r>
        <w:rPr>
          <w:rFonts w:ascii="Arial" w:hAnsi="Arial" w:cs="Arial"/>
        </w:rPr>
        <w:t xml:space="preserve">, como también, </w:t>
      </w:r>
      <w:r w:rsidRPr="003134D1">
        <w:rPr>
          <w:rFonts w:ascii="Arial" w:hAnsi="Arial" w:cs="Arial"/>
        </w:rPr>
        <w:t>omisiones de documentación en el expediente electrónico de la contratación</w:t>
      </w:r>
      <w:r w:rsidR="0074479D">
        <w:rPr>
          <w:rFonts w:ascii="Arial" w:hAnsi="Arial" w:cs="Arial"/>
        </w:rPr>
        <w:t>.</w:t>
      </w:r>
    </w:p>
    <w:p w14:paraId="136512B2" w14:textId="421B61BB" w:rsidR="00FE6427" w:rsidRDefault="0074479D" w:rsidP="0091318E">
      <w:pPr>
        <w:spacing w:line="240" w:lineRule="auto"/>
        <w:jc w:val="both"/>
        <w:rPr>
          <w:rFonts w:ascii="Arial" w:hAnsi="Arial" w:cs="Arial"/>
        </w:rPr>
      </w:pPr>
      <w:r>
        <w:rPr>
          <w:rFonts w:ascii="Arial" w:hAnsi="Arial" w:cs="Arial"/>
        </w:rPr>
        <w:lastRenderedPageBreak/>
        <w:t>Finalmente</w:t>
      </w:r>
      <w:r w:rsidR="00CB3488">
        <w:rPr>
          <w:rFonts w:ascii="Arial" w:hAnsi="Arial" w:cs="Arial"/>
        </w:rPr>
        <w:t xml:space="preserve">, </w:t>
      </w:r>
      <w:r w:rsidR="00775750">
        <w:rPr>
          <w:rFonts w:ascii="Arial" w:hAnsi="Arial" w:cs="Arial"/>
        </w:rPr>
        <w:t>el Ministerio de Hacienda no tiene en su diseño de control actividades que permitan monitorear l</w:t>
      </w:r>
      <w:r w:rsidR="00CB3488" w:rsidRPr="00CB3488">
        <w:rPr>
          <w:rFonts w:ascii="Arial" w:hAnsi="Arial" w:cs="Arial"/>
        </w:rPr>
        <w:t>a</w:t>
      </w:r>
      <w:r w:rsidR="000E17A0">
        <w:rPr>
          <w:rFonts w:ascii="Arial" w:hAnsi="Arial" w:cs="Arial"/>
        </w:rPr>
        <w:t xml:space="preserve"> eventual</w:t>
      </w:r>
      <w:r w:rsidR="00CB3488" w:rsidRPr="00CB3488">
        <w:rPr>
          <w:rFonts w:ascii="Arial" w:hAnsi="Arial" w:cs="Arial"/>
        </w:rPr>
        <w:t xml:space="preserve"> concentración de proveedores que han sido contratados reiteradamente en los diferentes procesos de contratación del Ministerio de Hacienda.</w:t>
      </w:r>
    </w:p>
    <w:p w14:paraId="2F810E50" w14:textId="77777777" w:rsidR="005726D8" w:rsidRDefault="005726D8" w:rsidP="0091318E">
      <w:pPr>
        <w:spacing w:line="240" w:lineRule="auto"/>
        <w:jc w:val="both"/>
        <w:rPr>
          <w:rFonts w:ascii="Arial" w:hAnsi="Arial" w:cs="Arial"/>
        </w:rPr>
      </w:pPr>
    </w:p>
    <w:p w14:paraId="17FD307A" w14:textId="5601999F" w:rsidR="0055222A" w:rsidRPr="00B0005B" w:rsidRDefault="0055222A" w:rsidP="006C7F40">
      <w:pPr>
        <w:pStyle w:val="Ttulo1"/>
        <w:keepNext w:val="0"/>
        <w:keepLines w:val="0"/>
        <w:numPr>
          <w:ilvl w:val="0"/>
          <w:numId w:val="17"/>
        </w:numPr>
        <w:spacing w:before="0" w:after="0"/>
        <w:ind w:left="360"/>
        <w:contextualSpacing/>
        <w:rPr>
          <w:rFonts w:ascii="Arial" w:hAnsi="Arial" w:cs="Arial"/>
          <w:b/>
          <w:bCs/>
          <w:color w:val="44546A" w:themeColor="text2"/>
          <w:kern w:val="28"/>
          <w:sz w:val="28"/>
          <w:szCs w:val="28"/>
          <w:lang w:eastAsia="es-ES"/>
        </w:rPr>
      </w:pPr>
      <w:bookmarkStart w:id="97" w:name="_Toc390783339"/>
      <w:bookmarkStart w:id="98" w:name="_Toc108431905"/>
      <w:r w:rsidRPr="00B0005B">
        <w:rPr>
          <w:rFonts w:ascii="Arial" w:hAnsi="Arial" w:cs="Arial"/>
          <w:b/>
          <w:bCs/>
          <w:color w:val="44546A" w:themeColor="text2"/>
          <w:kern w:val="28"/>
          <w:sz w:val="28"/>
          <w:szCs w:val="28"/>
          <w:lang w:eastAsia="es-ES"/>
        </w:rPr>
        <w:t>RECOMENDACIONES</w:t>
      </w:r>
      <w:bookmarkEnd w:id="97"/>
      <w:bookmarkEnd w:id="98"/>
    </w:p>
    <w:p w14:paraId="67397024" w14:textId="77777777" w:rsidR="00966C3B" w:rsidRDefault="00966C3B" w:rsidP="006C1FB7">
      <w:pPr>
        <w:autoSpaceDE w:val="0"/>
        <w:autoSpaceDN w:val="0"/>
        <w:adjustRightInd w:val="0"/>
        <w:spacing w:after="0" w:line="240" w:lineRule="auto"/>
        <w:contextualSpacing/>
        <w:jc w:val="both"/>
        <w:rPr>
          <w:rFonts w:ascii="Arial" w:hAnsi="Arial" w:cs="Arial"/>
          <w:b/>
          <w:color w:val="44546A" w:themeColor="text2"/>
          <w:sz w:val="24"/>
          <w:szCs w:val="24"/>
        </w:rPr>
      </w:pPr>
    </w:p>
    <w:p w14:paraId="66C2F82B" w14:textId="54EFF5F6" w:rsidR="00E62672" w:rsidRPr="006C1FB7" w:rsidRDefault="00E62672" w:rsidP="00E62672">
      <w:pPr>
        <w:spacing w:line="276" w:lineRule="auto"/>
        <w:jc w:val="both"/>
        <w:rPr>
          <w:rFonts w:ascii="Arial" w:hAnsi="Arial" w:cs="Arial"/>
          <w:b/>
          <w:color w:val="44546A" w:themeColor="text2"/>
          <w:sz w:val="24"/>
          <w:szCs w:val="24"/>
        </w:rPr>
      </w:pPr>
      <w:r w:rsidRPr="006C1FB7">
        <w:rPr>
          <w:rFonts w:ascii="Arial" w:hAnsi="Arial" w:cs="Arial"/>
          <w:b/>
          <w:color w:val="44546A" w:themeColor="text2"/>
          <w:sz w:val="24"/>
          <w:szCs w:val="24"/>
        </w:rPr>
        <w:t xml:space="preserve">A la </w:t>
      </w:r>
      <w:r>
        <w:rPr>
          <w:rFonts w:ascii="Arial" w:hAnsi="Arial" w:cs="Arial"/>
          <w:b/>
          <w:color w:val="44546A" w:themeColor="text2"/>
          <w:sz w:val="24"/>
          <w:szCs w:val="24"/>
        </w:rPr>
        <w:t xml:space="preserve">Oficialía Mayor, </w:t>
      </w:r>
      <w:r w:rsidRPr="006C1FB7">
        <w:rPr>
          <w:rFonts w:ascii="Arial" w:hAnsi="Arial" w:cs="Arial"/>
          <w:b/>
          <w:color w:val="44546A" w:themeColor="text2"/>
          <w:sz w:val="24"/>
          <w:szCs w:val="24"/>
        </w:rPr>
        <w:t>Dirección Administrativa y Financiera</w:t>
      </w:r>
      <w:r>
        <w:rPr>
          <w:rFonts w:ascii="Arial" w:hAnsi="Arial" w:cs="Arial"/>
          <w:b/>
          <w:color w:val="44546A" w:themeColor="text2"/>
          <w:sz w:val="24"/>
          <w:szCs w:val="24"/>
        </w:rPr>
        <w:t>.</w:t>
      </w:r>
    </w:p>
    <w:p w14:paraId="57F02911" w14:textId="77777777" w:rsidR="0096751E" w:rsidRDefault="0096751E" w:rsidP="00E62672">
      <w:pPr>
        <w:autoSpaceDE w:val="0"/>
        <w:autoSpaceDN w:val="0"/>
        <w:adjustRightInd w:val="0"/>
        <w:spacing w:after="0" w:line="240" w:lineRule="auto"/>
        <w:contextualSpacing/>
        <w:jc w:val="both"/>
        <w:rPr>
          <w:rFonts w:ascii="Arial" w:hAnsi="Arial" w:cs="Arial"/>
          <w:b/>
          <w:szCs w:val="24"/>
        </w:rPr>
      </w:pPr>
    </w:p>
    <w:p w14:paraId="2B0A0B23" w14:textId="0173F0F9" w:rsidR="006C1FB7" w:rsidRPr="00E62672" w:rsidRDefault="00DA7916" w:rsidP="00E62672">
      <w:pPr>
        <w:autoSpaceDE w:val="0"/>
        <w:autoSpaceDN w:val="0"/>
        <w:adjustRightInd w:val="0"/>
        <w:spacing w:after="0" w:line="240" w:lineRule="auto"/>
        <w:contextualSpacing/>
        <w:jc w:val="both"/>
        <w:rPr>
          <w:rFonts w:ascii="Arial" w:hAnsi="Arial" w:cs="Arial"/>
        </w:rPr>
      </w:pPr>
      <w:r w:rsidRPr="00A136E4">
        <w:rPr>
          <w:rFonts w:ascii="Arial" w:hAnsi="Arial" w:cs="Arial"/>
          <w:b/>
          <w:szCs w:val="24"/>
        </w:rPr>
        <w:t xml:space="preserve">4.1 </w:t>
      </w:r>
      <w:r w:rsidR="006C1FB7" w:rsidRPr="00CF6993">
        <w:rPr>
          <w:rFonts w:ascii="Arial" w:hAnsi="Arial" w:cs="Arial"/>
          <w:szCs w:val="24"/>
        </w:rPr>
        <w:t>Elaborar, oficializar y divulgar una metodología de supervisión para el proceso de contratación administrativa, que incluya entre otros aspectos lo relacionado con el cronograma, bitácora y lista de verificación.</w:t>
      </w:r>
    </w:p>
    <w:p w14:paraId="7342A3DD" w14:textId="77777777" w:rsidR="0096751E" w:rsidRDefault="0096751E" w:rsidP="00377F58">
      <w:pPr>
        <w:pStyle w:val="Textocomentario"/>
        <w:spacing w:after="0"/>
        <w:contextualSpacing/>
        <w:jc w:val="both"/>
        <w:rPr>
          <w:rFonts w:ascii="Arial" w:eastAsiaTheme="minorHAnsi" w:hAnsi="Arial" w:cs="Arial"/>
          <w:color w:val="auto"/>
          <w:kern w:val="0"/>
          <w:sz w:val="22"/>
          <w:szCs w:val="24"/>
        </w:rPr>
      </w:pPr>
    </w:p>
    <w:p w14:paraId="2C33D7D8" w14:textId="77777777" w:rsidR="0096751E" w:rsidRDefault="006C1FB7" w:rsidP="00377F58">
      <w:pPr>
        <w:pStyle w:val="Textocomentario"/>
        <w:spacing w:after="0"/>
        <w:contextualSpacing/>
        <w:jc w:val="both"/>
      </w:pPr>
      <w:r w:rsidRPr="00552D74">
        <w:rPr>
          <w:rFonts w:ascii="Arial" w:eastAsiaTheme="minorHAnsi" w:hAnsi="Arial" w:cs="Arial"/>
          <w:color w:val="auto"/>
          <w:kern w:val="0"/>
          <w:sz w:val="22"/>
          <w:szCs w:val="24"/>
        </w:rPr>
        <w:t xml:space="preserve">Para acreditar su cumplimiento se debe remitir a más tardar el 30 de </w:t>
      </w:r>
      <w:r w:rsidR="001C7132">
        <w:rPr>
          <w:rFonts w:ascii="Arial" w:eastAsiaTheme="minorHAnsi" w:hAnsi="Arial" w:cs="Arial"/>
          <w:color w:val="auto"/>
          <w:kern w:val="0"/>
          <w:sz w:val="22"/>
          <w:szCs w:val="24"/>
        </w:rPr>
        <w:t>noviembre</w:t>
      </w:r>
      <w:r w:rsidR="000F1902" w:rsidRPr="00552D74">
        <w:rPr>
          <w:rFonts w:ascii="Arial" w:eastAsiaTheme="minorHAnsi" w:hAnsi="Arial" w:cs="Arial"/>
          <w:color w:val="auto"/>
          <w:kern w:val="0"/>
          <w:sz w:val="22"/>
          <w:szCs w:val="24"/>
        </w:rPr>
        <w:t xml:space="preserve"> </w:t>
      </w:r>
      <w:r w:rsidRPr="00552D74">
        <w:rPr>
          <w:rFonts w:ascii="Arial" w:eastAsiaTheme="minorHAnsi" w:hAnsi="Arial" w:cs="Arial"/>
          <w:color w:val="auto"/>
          <w:kern w:val="0"/>
          <w:sz w:val="22"/>
          <w:szCs w:val="24"/>
        </w:rPr>
        <w:t>del 2022 a la Auditoría Interna una certificación en donde se acredite el cumplimiento de la recomendación y la evidencia respectiva</w:t>
      </w:r>
      <w:r>
        <w:rPr>
          <w:rFonts w:ascii="Arial" w:eastAsiaTheme="minorHAnsi" w:hAnsi="Arial" w:cs="Arial"/>
          <w:color w:val="auto"/>
          <w:kern w:val="0"/>
          <w:sz w:val="22"/>
          <w:szCs w:val="24"/>
        </w:rPr>
        <w:t>.</w:t>
      </w:r>
      <w:r w:rsidRPr="0013005E">
        <w:t xml:space="preserve"> </w:t>
      </w:r>
    </w:p>
    <w:p w14:paraId="05B768C5" w14:textId="33645C40" w:rsidR="006C1FB7" w:rsidRPr="007E2FE0" w:rsidRDefault="006C1FB7" w:rsidP="00377F58">
      <w:pPr>
        <w:pStyle w:val="Textocomentario"/>
        <w:spacing w:after="0"/>
        <w:contextualSpacing/>
        <w:jc w:val="both"/>
        <w:rPr>
          <w:rFonts w:ascii="Arial" w:eastAsiaTheme="minorHAnsi" w:hAnsi="Arial" w:cs="Arial"/>
          <w:color w:val="auto"/>
          <w:kern w:val="0"/>
          <w:sz w:val="22"/>
          <w:szCs w:val="24"/>
        </w:rPr>
      </w:pPr>
      <w:r w:rsidRPr="007E2FE0">
        <w:rPr>
          <w:rFonts w:ascii="Arial" w:eastAsiaTheme="minorHAnsi" w:hAnsi="Arial" w:cs="Arial"/>
          <w:color w:val="auto"/>
          <w:kern w:val="0"/>
          <w:sz w:val="22"/>
          <w:szCs w:val="24"/>
        </w:rPr>
        <w:t>Ver apartado</w:t>
      </w:r>
      <w:r w:rsidR="000F1902" w:rsidRPr="007E2FE0">
        <w:rPr>
          <w:rFonts w:ascii="Arial" w:eastAsiaTheme="minorHAnsi" w:hAnsi="Arial" w:cs="Arial"/>
          <w:color w:val="auto"/>
          <w:kern w:val="0"/>
          <w:sz w:val="22"/>
          <w:szCs w:val="24"/>
        </w:rPr>
        <w:t>s</w:t>
      </w:r>
      <w:r w:rsidRPr="007E2FE0">
        <w:rPr>
          <w:rFonts w:ascii="Arial" w:eastAsiaTheme="minorHAnsi" w:hAnsi="Arial" w:cs="Arial"/>
          <w:color w:val="auto"/>
          <w:kern w:val="0"/>
          <w:sz w:val="22"/>
          <w:szCs w:val="24"/>
        </w:rPr>
        <w:t xml:space="preserve"> 2.1</w:t>
      </w:r>
      <w:r w:rsidR="00EC4C9F" w:rsidRPr="007E2FE0">
        <w:rPr>
          <w:rFonts w:ascii="Arial" w:eastAsiaTheme="minorHAnsi" w:hAnsi="Arial" w:cs="Arial"/>
          <w:color w:val="auto"/>
          <w:kern w:val="0"/>
          <w:sz w:val="22"/>
          <w:szCs w:val="24"/>
        </w:rPr>
        <w:t>.1 y 2.1.2</w:t>
      </w:r>
      <w:r w:rsidRPr="007E2FE0">
        <w:rPr>
          <w:rFonts w:ascii="Arial" w:eastAsiaTheme="minorHAnsi" w:hAnsi="Arial" w:cs="Arial"/>
          <w:color w:val="auto"/>
          <w:kern w:val="0"/>
          <w:sz w:val="22"/>
          <w:szCs w:val="24"/>
        </w:rPr>
        <w:t xml:space="preserve"> del presente informe.</w:t>
      </w:r>
    </w:p>
    <w:p w14:paraId="149769C1" w14:textId="77777777" w:rsidR="0094442E" w:rsidRDefault="0094442E" w:rsidP="00377F58">
      <w:pPr>
        <w:pStyle w:val="Textocomentario"/>
        <w:spacing w:after="0"/>
        <w:contextualSpacing/>
        <w:jc w:val="both"/>
        <w:rPr>
          <w:rFonts w:ascii="Arial" w:eastAsiaTheme="minorHAnsi" w:hAnsi="Arial" w:cs="Arial"/>
          <w:b/>
          <w:color w:val="auto"/>
          <w:kern w:val="0"/>
          <w:sz w:val="22"/>
          <w:szCs w:val="24"/>
        </w:rPr>
      </w:pPr>
      <w:bookmarkStart w:id="99" w:name="_Hlk89873950"/>
    </w:p>
    <w:p w14:paraId="38596F0D" w14:textId="23A53964" w:rsidR="00DA7916" w:rsidRPr="00A136E4" w:rsidRDefault="006C1FB7" w:rsidP="00377F58">
      <w:pPr>
        <w:pStyle w:val="Textocomentario"/>
        <w:spacing w:after="0"/>
        <w:contextualSpacing/>
        <w:jc w:val="both"/>
        <w:rPr>
          <w:rFonts w:ascii="Arial" w:eastAsiaTheme="minorHAnsi" w:hAnsi="Arial" w:cs="Arial"/>
          <w:b/>
          <w:color w:val="auto"/>
          <w:kern w:val="0"/>
          <w:sz w:val="22"/>
          <w:szCs w:val="24"/>
        </w:rPr>
      </w:pPr>
      <w:r w:rsidRPr="00A136E4">
        <w:rPr>
          <w:rFonts w:ascii="Arial" w:eastAsiaTheme="minorHAnsi" w:hAnsi="Arial" w:cs="Arial"/>
          <w:b/>
          <w:color w:val="auto"/>
          <w:kern w:val="0"/>
          <w:sz w:val="22"/>
          <w:szCs w:val="24"/>
        </w:rPr>
        <w:t>4.</w:t>
      </w:r>
      <w:bookmarkEnd w:id="99"/>
      <w:r w:rsidR="00E62672">
        <w:rPr>
          <w:rFonts w:ascii="Arial" w:eastAsiaTheme="minorHAnsi" w:hAnsi="Arial" w:cs="Arial"/>
          <w:b/>
          <w:color w:val="auto"/>
          <w:kern w:val="0"/>
          <w:sz w:val="22"/>
          <w:szCs w:val="24"/>
        </w:rPr>
        <w:t>2</w:t>
      </w:r>
      <w:r>
        <w:rPr>
          <w:rFonts w:ascii="Arial" w:eastAsiaTheme="minorHAnsi" w:hAnsi="Arial" w:cs="Arial"/>
          <w:b/>
          <w:color w:val="auto"/>
          <w:kern w:val="0"/>
          <w:sz w:val="22"/>
          <w:szCs w:val="24"/>
        </w:rPr>
        <w:t xml:space="preserve"> </w:t>
      </w:r>
      <w:r w:rsidR="00DA7916" w:rsidRPr="00CF6993">
        <w:rPr>
          <w:rFonts w:ascii="Arial" w:eastAsiaTheme="minorHAnsi" w:hAnsi="Arial" w:cs="Arial"/>
          <w:color w:val="auto"/>
          <w:kern w:val="0"/>
          <w:sz w:val="22"/>
          <w:szCs w:val="24"/>
        </w:rPr>
        <w:t xml:space="preserve">Valorar la conveniencia </w:t>
      </w:r>
      <w:r w:rsidR="007E2FE0">
        <w:rPr>
          <w:rFonts w:ascii="Arial" w:eastAsiaTheme="minorHAnsi" w:hAnsi="Arial" w:cs="Arial"/>
          <w:color w:val="auto"/>
          <w:kern w:val="0"/>
          <w:sz w:val="22"/>
          <w:szCs w:val="24"/>
        </w:rPr>
        <w:t xml:space="preserve">legal y </w:t>
      </w:r>
      <w:r w:rsidR="001D2A31">
        <w:rPr>
          <w:rFonts w:ascii="Arial" w:eastAsiaTheme="minorHAnsi" w:hAnsi="Arial" w:cs="Arial"/>
          <w:color w:val="auto"/>
          <w:kern w:val="0"/>
          <w:sz w:val="22"/>
          <w:szCs w:val="24"/>
        </w:rPr>
        <w:t>técnica</w:t>
      </w:r>
      <w:r w:rsidR="007E2FE0">
        <w:rPr>
          <w:rFonts w:ascii="Arial" w:eastAsiaTheme="minorHAnsi" w:hAnsi="Arial" w:cs="Arial"/>
          <w:color w:val="auto"/>
          <w:kern w:val="0"/>
          <w:sz w:val="22"/>
          <w:szCs w:val="24"/>
        </w:rPr>
        <w:t xml:space="preserve"> </w:t>
      </w:r>
      <w:r w:rsidR="00DA7916" w:rsidRPr="00CF6993">
        <w:rPr>
          <w:rFonts w:ascii="Arial" w:eastAsiaTheme="minorHAnsi" w:hAnsi="Arial" w:cs="Arial"/>
          <w:color w:val="auto"/>
          <w:kern w:val="0"/>
          <w:sz w:val="22"/>
          <w:szCs w:val="24"/>
        </w:rPr>
        <w:t xml:space="preserve">de </w:t>
      </w:r>
      <w:r w:rsidR="007E2FE0">
        <w:rPr>
          <w:rFonts w:ascii="Arial" w:eastAsiaTheme="minorHAnsi" w:hAnsi="Arial" w:cs="Arial"/>
          <w:color w:val="auto"/>
          <w:kern w:val="0"/>
          <w:sz w:val="22"/>
          <w:szCs w:val="24"/>
        </w:rPr>
        <w:t xml:space="preserve">incorporar </w:t>
      </w:r>
      <w:r w:rsidR="00DA7916" w:rsidRPr="00CF6993">
        <w:rPr>
          <w:rFonts w:ascii="Arial" w:eastAsiaTheme="minorHAnsi" w:hAnsi="Arial" w:cs="Arial"/>
          <w:color w:val="auto"/>
          <w:kern w:val="0"/>
          <w:sz w:val="22"/>
          <w:szCs w:val="24"/>
        </w:rPr>
        <w:t>la firma en el documento especificaciones técnicas, de</w:t>
      </w:r>
      <w:r w:rsidR="00DA7916" w:rsidRPr="00CF6993">
        <w:t xml:space="preserve"> </w:t>
      </w:r>
      <w:r w:rsidR="00DA7916" w:rsidRPr="00CF6993">
        <w:rPr>
          <w:rFonts w:ascii="Arial" w:eastAsiaTheme="minorHAnsi" w:hAnsi="Arial" w:cs="Arial"/>
          <w:color w:val="auto"/>
          <w:kern w:val="0"/>
          <w:sz w:val="22"/>
          <w:szCs w:val="24"/>
        </w:rPr>
        <w:t>acuerdo con el marco legal que regula la contratación administrativa y las sanas prácticas de control</w:t>
      </w:r>
      <w:r w:rsidR="007E2FE0">
        <w:rPr>
          <w:rFonts w:ascii="Arial" w:eastAsiaTheme="minorHAnsi" w:hAnsi="Arial" w:cs="Arial"/>
          <w:color w:val="auto"/>
          <w:kern w:val="0"/>
          <w:sz w:val="22"/>
          <w:szCs w:val="24"/>
        </w:rPr>
        <w:t xml:space="preserve"> interno</w:t>
      </w:r>
      <w:r w:rsidR="00DA7916" w:rsidRPr="00CF6993">
        <w:rPr>
          <w:rFonts w:ascii="Arial" w:eastAsiaTheme="minorHAnsi" w:hAnsi="Arial" w:cs="Arial"/>
          <w:color w:val="auto"/>
          <w:kern w:val="0"/>
          <w:sz w:val="22"/>
          <w:szCs w:val="24"/>
        </w:rPr>
        <w:t>.</w:t>
      </w:r>
      <w:r w:rsidR="00DA7916">
        <w:rPr>
          <w:rFonts w:ascii="Arial" w:eastAsiaTheme="minorHAnsi" w:hAnsi="Arial" w:cs="Arial"/>
          <w:color w:val="auto"/>
          <w:kern w:val="0"/>
          <w:sz w:val="22"/>
          <w:szCs w:val="24"/>
        </w:rPr>
        <w:t xml:space="preserve"> </w:t>
      </w:r>
    </w:p>
    <w:p w14:paraId="593FB462" w14:textId="77777777" w:rsidR="0096751E" w:rsidRDefault="0096751E" w:rsidP="00377F58">
      <w:pPr>
        <w:pStyle w:val="Textocomentario"/>
        <w:spacing w:after="0"/>
        <w:contextualSpacing/>
        <w:jc w:val="both"/>
        <w:rPr>
          <w:rFonts w:ascii="Arial" w:eastAsiaTheme="minorHAnsi" w:hAnsi="Arial" w:cs="Arial"/>
          <w:color w:val="auto"/>
          <w:kern w:val="0"/>
          <w:sz w:val="22"/>
          <w:szCs w:val="24"/>
        </w:rPr>
      </w:pPr>
    </w:p>
    <w:p w14:paraId="14AF2A97" w14:textId="77777777" w:rsidR="0096751E" w:rsidRDefault="00DA7916" w:rsidP="00377F58">
      <w:pPr>
        <w:pStyle w:val="Textocomentario"/>
        <w:spacing w:after="0"/>
        <w:contextualSpacing/>
        <w:jc w:val="both"/>
      </w:pPr>
      <w:r w:rsidRPr="00552D74">
        <w:rPr>
          <w:rFonts w:ascii="Arial" w:eastAsiaTheme="minorHAnsi" w:hAnsi="Arial" w:cs="Arial"/>
          <w:color w:val="auto"/>
          <w:kern w:val="0"/>
          <w:sz w:val="22"/>
          <w:szCs w:val="24"/>
        </w:rPr>
        <w:t xml:space="preserve">Para acreditar su cumplimiento se debe remitir a más tardar el </w:t>
      </w:r>
      <w:r w:rsidR="001C7132" w:rsidRPr="00552D74">
        <w:rPr>
          <w:rFonts w:ascii="Arial" w:eastAsiaTheme="minorHAnsi" w:hAnsi="Arial" w:cs="Arial"/>
          <w:color w:val="auto"/>
          <w:kern w:val="0"/>
          <w:sz w:val="22"/>
          <w:szCs w:val="24"/>
        </w:rPr>
        <w:t xml:space="preserve">30 de </w:t>
      </w:r>
      <w:r w:rsidR="001C7132">
        <w:rPr>
          <w:rFonts w:ascii="Arial" w:eastAsiaTheme="minorHAnsi" w:hAnsi="Arial" w:cs="Arial"/>
          <w:color w:val="auto"/>
          <w:kern w:val="0"/>
          <w:sz w:val="22"/>
          <w:szCs w:val="24"/>
        </w:rPr>
        <w:t>noviembre</w:t>
      </w:r>
      <w:r w:rsidR="001C7132" w:rsidRPr="00552D74">
        <w:rPr>
          <w:rFonts w:ascii="Arial" w:eastAsiaTheme="minorHAnsi" w:hAnsi="Arial" w:cs="Arial"/>
          <w:color w:val="auto"/>
          <w:kern w:val="0"/>
          <w:sz w:val="22"/>
          <w:szCs w:val="24"/>
        </w:rPr>
        <w:t xml:space="preserve"> del 2022 </w:t>
      </w:r>
      <w:r w:rsidRPr="00552D74">
        <w:rPr>
          <w:rFonts w:ascii="Arial" w:eastAsiaTheme="minorHAnsi" w:hAnsi="Arial" w:cs="Arial"/>
          <w:color w:val="auto"/>
          <w:kern w:val="0"/>
          <w:sz w:val="22"/>
          <w:szCs w:val="24"/>
        </w:rPr>
        <w:t>a la Auditoría Interna una certificación en donde se acredite el cumplimiento de la recomendación y la evidencia respectiva</w:t>
      </w:r>
      <w:r>
        <w:rPr>
          <w:rFonts w:ascii="Arial" w:eastAsiaTheme="minorHAnsi" w:hAnsi="Arial" w:cs="Arial"/>
          <w:color w:val="auto"/>
          <w:kern w:val="0"/>
          <w:sz w:val="22"/>
          <w:szCs w:val="24"/>
        </w:rPr>
        <w:t>.</w:t>
      </w:r>
      <w:r w:rsidRPr="0013005E">
        <w:t xml:space="preserve"> </w:t>
      </w:r>
    </w:p>
    <w:p w14:paraId="3765EF74" w14:textId="5BEC5614" w:rsidR="00DA7916" w:rsidRDefault="00DA7916" w:rsidP="00377F58">
      <w:pPr>
        <w:pStyle w:val="Textocomentario"/>
        <w:spacing w:after="0"/>
        <w:contextualSpacing/>
        <w:jc w:val="both"/>
        <w:rPr>
          <w:rFonts w:ascii="Arial" w:eastAsiaTheme="minorHAnsi" w:hAnsi="Arial" w:cs="Arial"/>
          <w:color w:val="auto"/>
          <w:kern w:val="0"/>
          <w:sz w:val="22"/>
          <w:szCs w:val="24"/>
        </w:rPr>
      </w:pPr>
      <w:r w:rsidRPr="0013005E">
        <w:rPr>
          <w:rFonts w:ascii="Arial" w:eastAsiaTheme="minorHAnsi" w:hAnsi="Arial" w:cs="Arial"/>
          <w:color w:val="auto"/>
          <w:kern w:val="0"/>
          <w:sz w:val="22"/>
          <w:szCs w:val="24"/>
        </w:rPr>
        <w:t xml:space="preserve">Ver </w:t>
      </w:r>
      <w:r>
        <w:rPr>
          <w:rFonts w:ascii="Arial" w:eastAsiaTheme="minorHAnsi" w:hAnsi="Arial" w:cs="Arial"/>
          <w:color w:val="auto"/>
          <w:kern w:val="0"/>
          <w:sz w:val="22"/>
          <w:szCs w:val="24"/>
        </w:rPr>
        <w:t>apartado</w:t>
      </w:r>
      <w:r w:rsidRPr="0013005E">
        <w:rPr>
          <w:rFonts w:ascii="Arial" w:eastAsiaTheme="minorHAnsi" w:hAnsi="Arial" w:cs="Arial"/>
          <w:color w:val="auto"/>
          <w:kern w:val="0"/>
          <w:sz w:val="22"/>
          <w:szCs w:val="24"/>
        </w:rPr>
        <w:t xml:space="preserve"> 2.</w:t>
      </w:r>
      <w:r w:rsidR="0041177E">
        <w:rPr>
          <w:rFonts w:ascii="Arial" w:eastAsiaTheme="minorHAnsi" w:hAnsi="Arial" w:cs="Arial"/>
          <w:color w:val="auto"/>
          <w:kern w:val="0"/>
          <w:sz w:val="22"/>
          <w:szCs w:val="24"/>
        </w:rPr>
        <w:t>2</w:t>
      </w:r>
      <w:r w:rsidRPr="0013005E">
        <w:rPr>
          <w:rFonts w:ascii="Arial" w:eastAsiaTheme="minorHAnsi" w:hAnsi="Arial" w:cs="Arial"/>
          <w:color w:val="auto"/>
          <w:kern w:val="0"/>
          <w:sz w:val="22"/>
          <w:szCs w:val="24"/>
        </w:rPr>
        <w:t xml:space="preserve"> del presente informe.</w:t>
      </w:r>
    </w:p>
    <w:p w14:paraId="5C9FF667" w14:textId="77777777" w:rsidR="006C1FB7" w:rsidRDefault="006C1FB7" w:rsidP="00377F58">
      <w:pPr>
        <w:pStyle w:val="Textocomentario"/>
        <w:spacing w:after="0"/>
        <w:contextualSpacing/>
        <w:jc w:val="both"/>
        <w:rPr>
          <w:rFonts w:ascii="Arial" w:eastAsiaTheme="minorHAnsi" w:hAnsi="Arial" w:cs="Arial"/>
          <w:color w:val="auto"/>
          <w:kern w:val="0"/>
          <w:sz w:val="22"/>
          <w:szCs w:val="24"/>
        </w:rPr>
      </w:pPr>
    </w:p>
    <w:p w14:paraId="7FBCAF45" w14:textId="0FC0BBFA" w:rsidR="006C1FB7" w:rsidRDefault="006C1FB7" w:rsidP="00377F58">
      <w:pPr>
        <w:pStyle w:val="Textocomentario"/>
        <w:spacing w:after="0"/>
        <w:contextualSpacing/>
        <w:jc w:val="both"/>
        <w:rPr>
          <w:rFonts w:ascii="Arial" w:eastAsiaTheme="minorHAnsi" w:hAnsi="Arial" w:cs="Arial"/>
          <w:color w:val="auto"/>
          <w:kern w:val="0"/>
          <w:sz w:val="22"/>
          <w:szCs w:val="24"/>
        </w:rPr>
      </w:pPr>
      <w:r w:rsidRPr="00A136E4">
        <w:rPr>
          <w:rFonts w:ascii="Arial" w:eastAsiaTheme="minorHAnsi" w:hAnsi="Arial" w:cs="Arial"/>
          <w:b/>
          <w:color w:val="auto"/>
          <w:kern w:val="0"/>
          <w:sz w:val="22"/>
          <w:szCs w:val="24"/>
        </w:rPr>
        <w:t>4.</w:t>
      </w:r>
      <w:r w:rsidR="00E62672">
        <w:rPr>
          <w:rFonts w:ascii="Arial" w:eastAsiaTheme="minorHAnsi" w:hAnsi="Arial" w:cs="Arial"/>
          <w:b/>
          <w:color w:val="auto"/>
          <w:kern w:val="0"/>
          <w:sz w:val="22"/>
          <w:szCs w:val="24"/>
        </w:rPr>
        <w:t>3</w:t>
      </w:r>
      <w:r>
        <w:rPr>
          <w:rFonts w:ascii="Arial" w:eastAsiaTheme="minorHAnsi" w:hAnsi="Arial" w:cs="Arial"/>
          <w:b/>
          <w:color w:val="auto"/>
          <w:kern w:val="0"/>
          <w:sz w:val="22"/>
          <w:szCs w:val="24"/>
        </w:rPr>
        <w:t xml:space="preserve"> </w:t>
      </w:r>
      <w:r w:rsidR="00F02E3E" w:rsidRPr="00F02E3E">
        <w:rPr>
          <w:rFonts w:ascii="Arial" w:eastAsiaTheme="minorHAnsi" w:hAnsi="Arial" w:cs="Arial"/>
          <w:color w:val="auto"/>
          <w:kern w:val="0"/>
          <w:sz w:val="22"/>
          <w:szCs w:val="24"/>
        </w:rPr>
        <w:t>Aju</w:t>
      </w:r>
      <w:r w:rsidR="00F02E3E">
        <w:rPr>
          <w:rFonts w:ascii="Arial" w:eastAsiaTheme="minorHAnsi" w:hAnsi="Arial" w:cs="Arial"/>
          <w:color w:val="auto"/>
          <w:kern w:val="0"/>
          <w:sz w:val="22"/>
          <w:szCs w:val="24"/>
        </w:rPr>
        <w:t>star, oficializar, divulgar e implementar en los procedimientos internos las actividades de contro</w:t>
      </w:r>
      <w:r w:rsidR="00F05180">
        <w:rPr>
          <w:rFonts w:ascii="Arial" w:eastAsiaTheme="minorHAnsi" w:hAnsi="Arial" w:cs="Arial"/>
          <w:color w:val="auto"/>
          <w:kern w:val="0"/>
          <w:sz w:val="22"/>
          <w:szCs w:val="24"/>
        </w:rPr>
        <w:t>l</w:t>
      </w:r>
      <w:r w:rsidR="00F02E3E">
        <w:rPr>
          <w:rFonts w:ascii="Arial" w:eastAsiaTheme="minorHAnsi" w:hAnsi="Arial" w:cs="Arial"/>
          <w:color w:val="auto"/>
          <w:kern w:val="0"/>
          <w:sz w:val="22"/>
          <w:szCs w:val="24"/>
        </w:rPr>
        <w:t xml:space="preserve"> </w:t>
      </w:r>
      <w:r w:rsidRPr="006C1FB7">
        <w:rPr>
          <w:rFonts w:ascii="Arial" w:eastAsiaTheme="minorHAnsi" w:hAnsi="Arial" w:cs="Arial"/>
          <w:color w:val="auto"/>
          <w:kern w:val="0"/>
          <w:sz w:val="22"/>
          <w:szCs w:val="24"/>
        </w:rPr>
        <w:t xml:space="preserve">  que garantice razonablemente la inclusión correcta y completa de la información en el expediente del Sistema Integrado de Compras Públicas (SICOP). </w:t>
      </w:r>
    </w:p>
    <w:p w14:paraId="210BF906" w14:textId="77777777" w:rsidR="0096751E" w:rsidRDefault="0096751E" w:rsidP="00E62672">
      <w:pPr>
        <w:pStyle w:val="Textocomentario"/>
        <w:spacing w:after="0"/>
        <w:contextualSpacing/>
        <w:jc w:val="both"/>
        <w:rPr>
          <w:rFonts w:ascii="Arial" w:eastAsiaTheme="minorHAnsi" w:hAnsi="Arial" w:cs="Arial"/>
          <w:color w:val="auto"/>
          <w:kern w:val="0"/>
          <w:sz w:val="22"/>
          <w:szCs w:val="24"/>
        </w:rPr>
      </w:pPr>
    </w:p>
    <w:p w14:paraId="1B052BA6" w14:textId="77777777" w:rsidR="0096751E" w:rsidRDefault="00E62672" w:rsidP="00E62672">
      <w:pPr>
        <w:pStyle w:val="Textocomentario"/>
        <w:spacing w:after="0"/>
        <w:contextualSpacing/>
        <w:jc w:val="both"/>
      </w:pPr>
      <w:r w:rsidRPr="00552D74">
        <w:rPr>
          <w:rFonts w:ascii="Arial" w:eastAsiaTheme="minorHAnsi" w:hAnsi="Arial" w:cs="Arial"/>
          <w:color w:val="auto"/>
          <w:kern w:val="0"/>
          <w:sz w:val="22"/>
          <w:szCs w:val="24"/>
        </w:rPr>
        <w:t xml:space="preserve">Para acreditar su cumplimiento se debe remitir a más tardar el </w:t>
      </w:r>
      <w:r w:rsidR="001C7132" w:rsidRPr="00552D74">
        <w:rPr>
          <w:rFonts w:ascii="Arial" w:eastAsiaTheme="minorHAnsi" w:hAnsi="Arial" w:cs="Arial"/>
          <w:color w:val="auto"/>
          <w:kern w:val="0"/>
          <w:sz w:val="22"/>
          <w:szCs w:val="24"/>
        </w:rPr>
        <w:t xml:space="preserve">30 de </w:t>
      </w:r>
      <w:r w:rsidR="001C7132">
        <w:rPr>
          <w:rFonts w:ascii="Arial" w:eastAsiaTheme="minorHAnsi" w:hAnsi="Arial" w:cs="Arial"/>
          <w:color w:val="auto"/>
          <w:kern w:val="0"/>
          <w:sz w:val="22"/>
          <w:szCs w:val="24"/>
        </w:rPr>
        <w:t>noviembre</w:t>
      </w:r>
      <w:r w:rsidR="001C7132" w:rsidRPr="00552D74">
        <w:rPr>
          <w:rFonts w:ascii="Arial" w:eastAsiaTheme="minorHAnsi" w:hAnsi="Arial" w:cs="Arial"/>
          <w:color w:val="auto"/>
          <w:kern w:val="0"/>
          <w:sz w:val="22"/>
          <w:szCs w:val="24"/>
        </w:rPr>
        <w:t xml:space="preserve"> del 2022 </w:t>
      </w:r>
      <w:r w:rsidRPr="00552D74">
        <w:rPr>
          <w:rFonts w:ascii="Arial" w:eastAsiaTheme="minorHAnsi" w:hAnsi="Arial" w:cs="Arial"/>
          <w:color w:val="auto"/>
          <w:kern w:val="0"/>
          <w:sz w:val="22"/>
          <w:szCs w:val="24"/>
        </w:rPr>
        <w:t>una certificación en donde se acredite el cumplimiento de la recomendación y la evidencia respectiva</w:t>
      </w:r>
      <w:r>
        <w:rPr>
          <w:rFonts w:ascii="Arial" w:eastAsiaTheme="minorHAnsi" w:hAnsi="Arial" w:cs="Arial"/>
          <w:color w:val="auto"/>
          <w:kern w:val="0"/>
          <w:sz w:val="22"/>
          <w:szCs w:val="24"/>
        </w:rPr>
        <w:t>.</w:t>
      </w:r>
      <w:r w:rsidRPr="0013005E">
        <w:t xml:space="preserve"> </w:t>
      </w:r>
    </w:p>
    <w:p w14:paraId="6CE5982F" w14:textId="1F0196DC" w:rsidR="00E62672" w:rsidRDefault="00E62672" w:rsidP="00E62672">
      <w:pPr>
        <w:pStyle w:val="Textocomentario"/>
        <w:spacing w:after="0"/>
        <w:contextualSpacing/>
        <w:jc w:val="both"/>
        <w:rPr>
          <w:rFonts w:ascii="Arial" w:eastAsiaTheme="minorHAnsi" w:hAnsi="Arial" w:cs="Arial"/>
          <w:color w:val="auto"/>
          <w:kern w:val="0"/>
          <w:sz w:val="22"/>
          <w:szCs w:val="24"/>
        </w:rPr>
      </w:pPr>
      <w:r w:rsidRPr="0013005E">
        <w:rPr>
          <w:rFonts w:ascii="Arial" w:eastAsiaTheme="minorHAnsi" w:hAnsi="Arial" w:cs="Arial"/>
          <w:color w:val="auto"/>
          <w:kern w:val="0"/>
          <w:sz w:val="22"/>
          <w:szCs w:val="24"/>
        </w:rPr>
        <w:t xml:space="preserve">Ver </w:t>
      </w:r>
      <w:r>
        <w:rPr>
          <w:rFonts w:ascii="Arial" w:eastAsiaTheme="minorHAnsi" w:hAnsi="Arial" w:cs="Arial"/>
          <w:color w:val="auto"/>
          <w:kern w:val="0"/>
          <w:sz w:val="22"/>
          <w:szCs w:val="24"/>
        </w:rPr>
        <w:t>apartado</w:t>
      </w:r>
      <w:r w:rsidRPr="0013005E">
        <w:rPr>
          <w:rFonts w:ascii="Arial" w:eastAsiaTheme="minorHAnsi" w:hAnsi="Arial" w:cs="Arial"/>
          <w:color w:val="auto"/>
          <w:kern w:val="0"/>
          <w:sz w:val="22"/>
          <w:szCs w:val="24"/>
        </w:rPr>
        <w:t xml:space="preserve"> 2.</w:t>
      </w:r>
      <w:r>
        <w:rPr>
          <w:rFonts w:ascii="Arial" w:eastAsiaTheme="minorHAnsi" w:hAnsi="Arial" w:cs="Arial"/>
          <w:color w:val="auto"/>
          <w:kern w:val="0"/>
          <w:sz w:val="22"/>
          <w:szCs w:val="24"/>
        </w:rPr>
        <w:t>3</w:t>
      </w:r>
      <w:r w:rsidRPr="0013005E">
        <w:rPr>
          <w:rFonts w:ascii="Arial" w:eastAsiaTheme="minorHAnsi" w:hAnsi="Arial" w:cs="Arial"/>
          <w:color w:val="auto"/>
          <w:kern w:val="0"/>
          <w:sz w:val="22"/>
          <w:szCs w:val="24"/>
        </w:rPr>
        <w:t xml:space="preserve"> del presente informe.</w:t>
      </w:r>
    </w:p>
    <w:p w14:paraId="4658BA4D" w14:textId="77777777" w:rsidR="0096751E" w:rsidRDefault="0096751E" w:rsidP="0096751E">
      <w:pPr>
        <w:autoSpaceDE w:val="0"/>
        <w:autoSpaceDN w:val="0"/>
        <w:adjustRightInd w:val="0"/>
        <w:spacing w:after="0" w:line="240" w:lineRule="auto"/>
        <w:contextualSpacing/>
        <w:jc w:val="both"/>
        <w:rPr>
          <w:rFonts w:ascii="Arial" w:hAnsi="Arial" w:cs="Arial"/>
          <w:b/>
          <w:szCs w:val="24"/>
        </w:rPr>
      </w:pPr>
    </w:p>
    <w:p w14:paraId="34FBC400" w14:textId="3949268D" w:rsidR="0096751E" w:rsidRDefault="0096751E" w:rsidP="0096751E">
      <w:pPr>
        <w:autoSpaceDE w:val="0"/>
        <w:autoSpaceDN w:val="0"/>
        <w:adjustRightInd w:val="0"/>
        <w:spacing w:after="0" w:line="240" w:lineRule="auto"/>
        <w:contextualSpacing/>
        <w:jc w:val="both"/>
        <w:rPr>
          <w:rFonts w:ascii="Arial" w:hAnsi="Arial" w:cs="Arial"/>
        </w:rPr>
      </w:pPr>
      <w:r w:rsidRPr="00A136E4">
        <w:rPr>
          <w:rFonts w:ascii="Arial" w:hAnsi="Arial" w:cs="Arial"/>
          <w:b/>
          <w:szCs w:val="24"/>
        </w:rPr>
        <w:t>4.</w:t>
      </w:r>
      <w:r>
        <w:rPr>
          <w:rFonts w:ascii="Arial" w:hAnsi="Arial" w:cs="Arial"/>
          <w:b/>
          <w:szCs w:val="24"/>
        </w:rPr>
        <w:t xml:space="preserve">4 </w:t>
      </w:r>
      <w:r w:rsidRPr="00B0005B">
        <w:rPr>
          <w:rFonts w:ascii="Arial" w:hAnsi="Arial" w:cs="Arial"/>
          <w:szCs w:val="24"/>
        </w:rPr>
        <w:t xml:space="preserve">Ajustar, oficializar, divulgar e implementar en los procedimientos internos las actividades de control para monitorear </w:t>
      </w:r>
      <w:r>
        <w:rPr>
          <w:rFonts w:ascii="Arial" w:hAnsi="Arial" w:cs="Arial"/>
          <w:szCs w:val="24"/>
        </w:rPr>
        <w:t xml:space="preserve">y dar seguimiento a </w:t>
      </w:r>
      <w:r w:rsidRPr="00B0005B">
        <w:rPr>
          <w:rFonts w:ascii="Arial" w:hAnsi="Arial" w:cs="Arial"/>
          <w:szCs w:val="24"/>
        </w:rPr>
        <w:t>eventuales concentraciones de proveedores</w:t>
      </w:r>
      <w:r>
        <w:rPr>
          <w:rFonts w:ascii="Arial" w:hAnsi="Arial" w:cs="Arial"/>
          <w:szCs w:val="24"/>
        </w:rPr>
        <w:t xml:space="preserve"> con el fin de analizar si está técnicamente justificada.</w:t>
      </w:r>
    </w:p>
    <w:p w14:paraId="587A4FEC" w14:textId="77777777" w:rsidR="0096751E" w:rsidRDefault="0096751E">
      <w:pPr>
        <w:spacing w:after="0" w:line="240" w:lineRule="auto"/>
        <w:ind w:right="22"/>
        <w:contextualSpacing/>
        <w:jc w:val="both"/>
        <w:rPr>
          <w:rFonts w:ascii="Arial" w:hAnsi="Arial" w:cs="Arial"/>
        </w:rPr>
      </w:pPr>
    </w:p>
    <w:p w14:paraId="29CCC4AE" w14:textId="77777777" w:rsidR="0096751E" w:rsidRDefault="0096751E" w:rsidP="0096751E">
      <w:pPr>
        <w:pStyle w:val="Textocomentario"/>
        <w:spacing w:after="0"/>
        <w:contextualSpacing/>
        <w:jc w:val="both"/>
      </w:pPr>
      <w:r w:rsidRPr="00552D74">
        <w:rPr>
          <w:rFonts w:ascii="Arial" w:eastAsiaTheme="minorHAnsi" w:hAnsi="Arial" w:cs="Arial"/>
          <w:color w:val="auto"/>
          <w:kern w:val="0"/>
          <w:sz w:val="22"/>
          <w:szCs w:val="24"/>
        </w:rPr>
        <w:t xml:space="preserve">Para acreditar su cumplimiento se debe remitir a más tardar el </w:t>
      </w:r>
      <w:r>
        <w:rPr>
          <w:rFonts w:ascii="Arial" w:eastAsiaTheme="minorHAnsi" w:hAnsi="Arial" w:cs="Arial"/>
          <w:color w:val="auto"/>
          <w:kern w:val="0"/>
          <w:sz w:val="22"/>
          <w:szCs w:val="24"/>
        </w:rPr>
        <w:t>28</w:t>
      </w:r>
      <w:r w:rsidRPr="00552D74">
        <w:rPr>
          <w:rFonts w:ascii="Arial" w:eastAsiaTheme="minorHAnsi" w:hAnsi="Arial" w:cs="Arial"/>
          <w:color w:val="auto"/>
          <w:kern w:val="0"/>
          <w:sz w:val="22"/>
          <w:szCs w:val="24"/>
        </w:rPr>
        <w:t xml:space="preserve"> de </w:t>
      </w:r>
      <w:r>
        <w:rPr>
          <w:rFonts w:ascii="Arial" w:eastAsiaTheme="minorHAnsi" w:hAnsi="Arial" w:cs="Arial"/>
          <w:color w:val="auto"/>
          <w:kern w:val="0"/>
          <w:sz w:val="22"/>
          <w:szCs w:val="24"/>
        </w:rPr>
        <w:t>febrero</w:t>
      </w:r>
      <w:r w:rsidRPr="00552D74">
        <w:rPr>
          <w:rFonts w:ascii="Arial" w:eastAsiaTheme="minorHAnsi" w:hAnsi="Arial" w:cs="Arial"/>
          <w:color w:val="auto"/>
          <w:kern w:val="0"/>
          <w:sz w:val="22"/>
          <w:szCs w:val="24"/>
        </w:rPr>
        <w:t xml:space="preserve"> del 202</w:t>
      </w:r>
      <w:r>
        <w:rPr>
          <w:rFonts w:ascii="Arial" w:eastAsiaTheme="minorHAnsi" w:hAnsi="Arial" w:cs="Arial"/>
          <w:color w:val="auto"/>
          <w:kern w:val="0"/>
          <w:sz w:val="22"/>
          <w:szCs w:val="24"/>
        </w:rPr>
        <w:t>3</w:t>
      </w:r>
      <w:r w:rsidRPr="00552D74">
        <w:rPr>
          <w:rFonts w:ascii="Arial" w:eastAsiaTheme="minorHAnsi" w:hAnsi="Arial" w:cs="Arial"/>
          <w:color w:val="auto"/>
          <w:kern w:val="0"/>
          <w:sz w:val="22"/>
          <w:szCs w:val="24"/>
        </w:rPr>
        <w:t xml:space="preserve"> una certificación en donde se acredite el cumplimiento de la recomendación y la evidencia respectiva</w:t>
      </w:r>
      <w:r>
        <w:rPr>
          <w:rFonts w:ascii="Arial" w:eastAsiaTheme="minorHAnsi" w:hAnsi="Arial" w:cs="Arial"/>
          <w:color w:val="auto"/>
          <w:kern w:val="0"/>
          <w:sz w:val="22"/>
          <w:szCs w:val="24"/>
        </w:rPr>
        <w:t>.</w:t>
      </w:r>
      <w:r w:rsidRPr="0013005E">
        <w:t xml:space="preserve"> </w:t>
      </w:r>
    </w:p>
    <w:p w14:paraId="06D06A21" w14:textId="30683BD9" w:rsidR="0096751E" w:rsidRDefault="0096751E" w:rsidP="0096751E">
      <w:pPr>
        <w:pStyle w:val="Textocomentario"/>
        <w:spacing w:after="0"/>
        <w:contextualSpacing/>
        <w:jc w:val="both"/>
        <w:rPr>
          <w:rFonts w:ascii="Arial" w:eastAsiaTheme="minorHAnsi" w:hAnsi="Arial" w:cs="Arial"/>
          <w:color w:val="auto"/>
          <w:kern w:val="0"/>
          <w:sz w:val="22"/>
          <w:szCs w:val="24"/>
        </w:rPr>
      </w:pPr>
      <w:r w:rsidRPr="0013005E">
        <w:rPr>
          <w:rFonts w:ascii="Arial" w:eastAsiaTheme="minorHAnsi" w:hAnsi="Arial" w:cs="Arial"/>
          <w:color w:val="auto"/>
          <w:kern w:val="0"/>
          <w:sz w:val="22"/>
          <w:szCs w:val="24"/>
        </w:rPr>
        <w:t xml:space="preserve">Ver </w:t>
      </w:r>
      <w:r>
        <w:rPr>
          <w:rFonts w:ascii="Arial" w:eastAsiaTheme="minorHAnsi" w:hAnsi="Arial" w:cs="Arial"/>
          <w:color w:val="auto"/>
          <w:kern w:val="0"/>
          <w:sz w:val="22"/>
          <w:szCs w:val="24"/>
        </w:rPr>
        <w:t>apartado</w:t>
      </w:r>
      <w:r w:rsidRPr="0013005E">
        <w:rPr>
          <w:rFonts w:ascii="Arial" w:eastAsiaTheme="minorHAnsi" w:hAnsi="Arial" w:cs="Arial"/>
          <w:color w:val="auto"/>
          <w:kern w:val="0"/>
          <w:sz w:val="22"/>
          <w:szCs w:val="24"/>
        </w:rPr>
        <w:t xml:space="preserve"> 2.</w:t>
      </w:r>
      <w:r>
        <w:rPr>
          <w:rFonts w:ascii="Arial" w:eastAsiaTheme="minorHAnsi" w:hAnsi="Arial" w:cs="Arial"/>
          <w:color w:val="auto"/>
          <w:kern w:val="0"/>
          <w:sz w:val="22"/>
          <w:szCs w:val="24"/>
        </w:rPr>
        <w:t>4</w:t>
      </w:r>
      <w:r w:rsidRPr="0013005E">
        <w:rPr>
          <w:rFonts w:ascii="Arial" w:eastAsiaTheme="minorHAnsi" w:hAnsi="Arial" w:cs="Arial"/>
          <w:color w:val="auto"/>
          <w:kern w:val="0"/>
          <w:sz w:val="22"/>
          <w:szCs w:val="24"/>
        </w:rPr>
        <w:t xml:space="preserve"> del presente informe.</w:t>
      </w:r>
    </w:p>
    <w:p w14:paraId="2C44EA1D" w14:textId="77777777" w:rsidR="0096751E" w:rsidRDefault="0096751E">
      <w:pPr>
        <w:spacing w:after="0" w:line="240" w:lineRule="auto"/>
        <w:ind w:right="22"/>
        <w:contextualSpacing/>
        <w:jc w:val="both"/>
        <w:rPr>
          <w:rFonts w:ascii="Arial" w:hAnsi="Arial" w:cs="Arial"/>
        </w:rPr>
      </w:pPr>
    </w:p>
    <w:p w14:paraId="66FACD7F" w14:textId="7DF95076" w:rsidR="00EC6532" w:rsidRPr="00BD3223" w:rsidRDefault="00BD3223">
      <w:pPr>
        <w:spacing w:after="0" w:line="240" w:lineRule="auto"/>
        <w:ind w:right="22"/>
        <w:contextualSpacing/>
        <w:jc w:val="both"/>
        <w:rPr>
          <w:rFonts w:ascii="Arial" w:hAnsi="Arial" w:cs="Arial"/>
        </w:rPr>
      </w:pPr>
      <w:r w:rsidRPr="00BD3223">
        <w:rPr>
          <w:rFonts w:ascii="Arial" w:hAnsi="Arial" w:cs="Arial"/>
        </w:rPr>
        <w:t xml:space="preserve">Con base en lo anterior, se le solicita a esa Dirección, proceder conforme lo dispone el artículo 36 de la Ley 8292 Ley General de Control Interno y la aplicación del Manual para la atención de informes de la Contraloría General de la República y de la Auditoría Interna, </w:t>
      </w:r>
      <w:r w:rsidRPr="00BD3223">
        <w:rPr>
          <w:rFonts w:ascii="Arial" w:hAnsi="Arial" w:cs="Arial"/>
        </w:rPr>
        <w:lastRenderedPageBreak/>
        <w:t>comunicando a esta Dirección las decisiones que se tomen respecto al presente informe, dentro del plazo de 10 días hábiles establecido en el citado artículo, así como presentar en un plazo razonable el plan de acción que se defina para la implementación efectiva de lo recomendado.</w:t>
      </w:r>
    </w:p>
    <w:p w14:paraId="3EAA7174" w14:textId="482F3F07" w:rsidR="0055222A" w:rsidRDefault="0055222A">
      <w:pPr>
        <w:spacing w:after="0" w:line="240" w:lineRule="auto"/>
        <w:ind w:right="22"/>
        <w:contextualSpacing/>
        <w:jc w:val="both"/>
        <w:rPr>
          <w:rFonts w:ascii="Arial" w:hAnsi="Arial" w:cs="Arial"/>
          <w:sz w:val="24"/>
          <w:szCs w:val="24"/>
        </w:rPr>
      </w:pPr>
    </w:p>
    <w:p w14:paraId="5791C63C" w14:textId="0E6ECBB5" w:rsidR="0094442E" w:rsidRDefault="0094442E">
      <w:pPr>
        <w:spacing w:after="0" w:line="240" w:lineRule="auto"/>
        <w:ind w:right="22"/>
        <w:contextualSpacing/>
        <w:jc w:val="both"/>
        <w:rPr>
          <w:rFonts w:ascii="Arial" w:hAnsi="Arial" w:cs="Arial"/>
          <w:sz w:val="24"/>
          <w:szCs w:val="24"/>
        </w:rPr>
      </w:pPr>
    </w:p>
    <w:p w14:paraId="4B89A569" w14:textId="77777777" w:rsidR="0094442E" w:rsidRPr="0043627B" w:rsidRDefault="0094442E">
      <w:pPr>
        <w:spacing w:after="0" w:line="240" w:lineRule="auto"/>
        <w:ind w:right="22"/>
        <w:contextualSpacing/>
        <w:jc w:val="both"/>
        <w:rPr>
          <w:rFonts w:ascii="Arial" w:hAnsi="Arial" w:cs="Arial"/>
          <w:sz w:val="24"/>
          <w:szCs w:val="24"/>
        </w:rPr>
      </w:pPr>
    </w:p>
    <w:p w14:paraId="122FC564" w14:textId="77777777" w:rsidR="0094442E" w:rsidRDefault="0094442E">
      <w:pPr>
        <w:spacing w:after="0" w:line="240" w:lineRule="auto"/>
        <w:ind w:right="23"/>
        <w:contextualSpacing/>
        <w:jc w:val="center"/>
        <w:rPr>
          <w:rFonts w:ascii="Arial" w:hAnsi="Arial" w:cs="Arial"/>
        </w:rPr>
      </w:pPr>
    </w:p>
    <w:p w14:paraId="2BCF53B2" w14:textId="78C755B4" w:rsidR="0055222A" w:rsidRPr="00B85B62" w:rsidRDefault="004A01AA">
      <w:pPr>
        <w:spacing w:after="0" w:line="240" w:lineRule="auto"/>
        <w:ind w:right="23"/>
        <w:contextualSpacing/>
        <w:jc w:val="center"/>
        <w:rPr>
          <w:rFonts w:ascii="Arial" w:hAnsi="Arial" w:cs="Arial"/>
        </w:rPr>
      </w:pPr>
      <w:r w:rsidRPr="00B85B62">
        <w:rPr>
          <w:rFonts w:ascii="Arial" w:hAnsi="Arial" w:cs="Arial"/>
        </w:rPr>
        <w:t>Ronald Fernández Romero</w:t>
      </w:r>
    </w:p>
    <w:p w14:paraId="4BCAA45D" w14:textId="77777777" w:rsidR="0055222A" w:rsidRPr="00B85B62" w:rsidRDefault="0055222A">
      <w:pPr>
        <w:spacing w:after="0" w:line="240" w:lineRule="auto"/>
        <w:ind w:right="23"/>
        <w:contextualSpacing/>
        <w:jc w:val="center"/>
        <w:rPr>
          <w:rFonts w:ascii="Arial" w:hAnsi="Arial" w:cs="Arial"/>
          <w:b/>
          <w:bCs/>
        </w:rPr>
      </w:pPr>
      <w:r w:rsidRPr="00B85B62">
        <w:rPr>
          <w:rFonts w:ascii="Arial" w:hAnsi="Arial" w:cs="Arial"/>
          <w:b/>
          <w:bCs/>
        </w:rPr>
        <w:t>Directo</w:t>
      </w:r>
      <w:r w:rsidR="009D2D99" w:rsidRPr="00B85B62">
        <w:rPr>
          <w:rFonts w:ascii="Arial" w:hAnsi="Arial" w:cs="Arial"/>
          <w:b/>
          <w:bCs/>
        </w:rPr>
        <w:t>r</w:t>
      </w:r>
      <w:r w:rsidRPr="00B85B62">
        <w:rPr>
          <w:rFonts w:ascii="Arial" w:hAnsi="Arial" w:cs="Arial"/>
          <w:b/>
          <w:bCs/>
        </w:rPr>
        <w:t xml:space="preserve"> de Auditoria Interna</w:t>
      </w:r>
    </w:p>
    <w:p w14:paraId="38104F50" w14:textId="6AD626E3" w:rsidR="0055222A" w:rsidRDefault="0055222A">
      <w:pPr>
        <w:spacing w:after="0" w:line="240" w:lineRule="auto"/>
        <w:ind w:right="22"/>
        <w:contextualSpacing/>
        <w:jc w:val="center"/>
        <w:rPr>
          <w:rFonts w:ascii="Arial" w:hAnsi="Arial" w:cs="Arial"/>
          <w:b/>
          <w:bCs/>
        </w:rPr>
      </w:pPr>
      <w:r w:rsidRPr="00B85B62">
        <w:rPr>
          <w:rFonts w:ascii="Arial" w:hAnsi="Arial" w:cs="Arial"/>
          <w:b/>
          <w:bCs/>
        </w:rPr>
        <w:t>Ministerio de Hacienda</w:t>
      </w:r>
    </w:p>
    <w:p w14:paraId="349EAFD4" w14:textId="46CC1814" w:rsidR="0096751E" w:rsidRDefault="0096751E">
      <w:pPr>
        <w:spacing w:after="0" w:line="240" w:lineRule="auto"/>
        <w:ind w:right="22"/>
        <w:contextualSpacing/>
        <w:jc w:val="center"/>
        <w:rPr>
          <w:rFonts w:ascii="Arial" w:hAnsi="Arial" w:cs="Arial"/>
          <w:b/>
          <w:bCs/>
        </w:rPr>
      </w:pPr>
    </w:p>
    <w:p w14:paraId="1EC49CB9" w14:textId="77777777" w:rsidR="0096751E" w:rsidRDefault="0096751E">
      <w:pPr>
        <w:spacing w:after="0" w:line="240" w:lineRule="auto"/>
        <w:ind w:right="22"/>
        <w:contextualSpacing/>
        <w:jc w:val="center"/>
        <w:rPr>
          <w:rFonts w:ascii="Arial" w:hAnsi="Arial" w:cs="Arial"/>
          <w:b/>
          <w:bCs/>
        </w:rPr>
      </w:pPr>
    </w:p>
    <w:p w14:paraId="2F58A263" w14:textId="765A8DB2" w:rsidR="00190AEF" w:rsidRDefault="00190AEF">
      <w:pPr>
        <w:spacing w:after="0" w:line="240" w:lineRule="auto"/>
        <w:ind w:right="22"/>
        <w:contextualSpacing/>
        <w:jc w:val="center"/>
        <w:rPr>
          <w:rFonts w:ascii="Arial" w:hAnsi="Arial" w:cs="Arial"/>
          <w:b/>
          <w:bCs/>
        </w:rPr>
      </w:pPr>
    </w:p>
    <w:tbl>
      <w:tblPr>
        <w:tblStyle w:val="Tablaconcuadrcula"/>
        <w:tblpPr w:leftFromText="141" w:rightFromText="141" w:vertAnchor="text" w:horzAnchor="margin" w:tblpXSpec="center" w:tblpY="-1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544"/>
      </w:tblGrid>
      <w:tr w:rsidR="0094442E" w:rsidRPr="009F0073" w14:paraId="65C7FD5B" w14:textId="77777777" w:rsidTr="0094442E">
        <w:tc>
          <w:tcPr>
            <w:tcW w:w="3260" w:type="dxa"/>
          </w:tcPr>
          <w:p w14:paraId="73FD32B3" w14:textId="77777777" w:rsidR="0094442E" w:rsidRPr="009F0073" w:rsidRDefault="0094442E" w:rsidP="0094442E">
            <w:pPr>
              <w:spacing w:line="360" w:lineRule="auto"/>
              <w:jc w:val="both"/>
              <w:rPr>
                <w:rFonts w:ascii="Arial" w:hAnsi="Arial" w:cs="Arial"/>
                <w:sz w:val="20"/>
              </w:rPr>
            </w:pPr>
            <w:bookmarkStart w:id="100" w:name="_Hlk77247682"/>
          </w:p>
          <w:p w14:paraId="538EEAA6" w14:textId="77777777" w:rsidR="0094442E" w:rsidRPr="009F0073" w:rsidRDefault="0094442E" w:rsidP="0094442E">
            <w:pPr>
              <w:spacing w:line="360" w:lineRule="auto"/>
              <w:jc w:val="both"/>
              <w:rPr>
                <w:rFonts w:ascii="Arial" w:hAnsi="Arial" w:cs="Arial"/>
                <w:sz w:val="20"/>
              </w:rPr>
            </w:pPr>
          </w:p>
          <w:p w14:paraId="2CCCB241" w14:textId="77777777" w:rsidR="0094442E" w:rsidRPr="009F0073" w:rsidRDefault="0094442E" w:rsidP="0094442E">
            <w:pPr>
              <w:spacing w:line="360" w:lineRule="auto"/>
              <w:jc w:val="both"/>
              <w:rPr>
                <w:rFonts w:ascii="Arial" w:hAnsi="Arial" w:cs="Arial"/>
                <w:sz w:val="20"/>
              </w:rPr>
            </w:pPr>
          </w:p>
        </w:tc>
        <w:tc>
          <w:tcPr>
            <w:tcW w:w="3544" w:type="dxa"/>
          </w:tcPr>
          <w:p w14:paraId="43DF3A2F" w14:textId="77777777" w:rsidR="0094442E" w:rsidRPr="009F0073" w:rsidRDefault="0094442E" w:rsidP="0094442E">
            <w:pPr>
              <w:spacing w:line="360" w:lineRule="auto"/>
              <w:jc w:val="both"/>
              <w:rPr>
                <w:rFonts w:ascii="Arial" w:hAnsi="Arial" w:cs="Arial"/>
                <w:sz w:val="20"/>
              </w:rPr>
            </w:pPr>
            <w:bookmarkStart w:id="101" w:name="_GoBack"/>
            <w:bookmarkEnd w:id="101"/>
          </w:p>
        </w:tc>
      </w:tr>
      <w:tr w:rsidR="0094442E" w:rsidRPr="009F0073" w14:paraId="05B1BE97" w14:textId="77777777" w:rsidTr="0094442E">
        <w:tc>
          <w:tcPr>
            <w:tcW w:w="3260" w:type="dxa"/>
          </w:tcPr>
          <w:p w14:paraId="444F758F" w14:textId="77777777" w:rsidR="0094442E" w:rsidRDefault="0094442E" w:rsidP="0094442E">
            <w:pPr>
              <w:jc w:val="center"/>
              <w:rPr>
                <w:rFonts w:ascii="Arial" w:hAnsi="Arial" w:cs="Arial"/>
                <w:sz w:val="20"/>
              </w:rPr>
            </w:pPr>
            <w:r w:rsidRPr="00522760">
              <w:rPr>
                <w:rFonts w:ascii="Arial" w:hAnsi="Arial" w:cs="Arial"/>
                <w:sz w:val="20"/>
              </w:rPr>
              <w:t>Rebeca Cover López</w:t>
            </w:r>
          </w:p>
          <w:p w14:paraId="375DBF33" w14:textId="77777777" w:rsidR="0094442E" w:rsidRPr="00522760" w:rsidRDefault="0094442E" w:rsidP="0094442E">
            <w:pPr>
              <w:jc w:val="center"/>
              <w:rPr>
                <w:rFonts w:ascii="Arial" w:hAnsi="Arial" w:cs="Arial"/>
                <w:b/>
                <w:sz w:val="20"/>
              </w:rPr>
            </w:pPr>
            <w:r w:rsidRPr="00522760">
              <w:rPr>
                <w:rFonts w:ascii="Arial" w:hAnsi="Arial" w:cs="Arial"/>
                <w:b/>
                <w:sz w:val="20"/>
              </w:rPr>
              <w:t xml:space="preserve">Profesional de Auditoría Interna </w:t>
            </w:r>
          </w:p>
          <w:p w14:paraId="227CCF9C" w14:textId="77777777" w:rsidR="0094442E" w:rsidRPr="00841A7F" w:rsidRDefault="0094442E" w:rsidP="0094442E">
            <w:pPr>
              <w:jc w:val="center"/>
              <w:rPr>
                <w:rFonts w:ascii="Arial" w:hAnsi="Arial" w:cs="Arial"/>
                <w:b/>
                <w:sz w:val="20"/>
              </w:rPr>
            </w:pPr>
            <w:r w:rsidRPr="00841A7F">
              <w:rPr>
                <w:rFonts w:ascii="Arial" w:hAnsi="Arial" w:cs="Arial"/>
                <w:b/>
                <w:sz w:val="20"/>
              </w:rPr>
              <w:t>Unidad de Auditoría de Servicios Corporativos</w:t>
            </w:r>
          </w:p>
          <w:p w14:paraId="29356379" w14:textId="77777777" w:rsidR="0094442E" w:rsidRPr="009F0073" w:rsidRDefault="0094442E" w:rsidP="0094442E">
            <w:pPr>
              <w:jc w:val="center"/>
              <w:rPr>
                <w:rFonts w:ascii="Arial" w:hAnsi="Arial" w:cs="Arial"/>
                <w:sz w:val="20"/>
              </w:rPr>
            </w:pPr>
          </w:p>
        </w:tc>
        <w:tc>
          <w:tcPr>
            <w:tcW w:w="3544" w:type="dxa"/>
          </w:tcPr>
          <w:p w14:paraId="0035DD98" w14:textId="77777777" w:rsidR="0094442E" w:rsidRPr="009F0073" w:rsidRDefault="0094442E" w:rsidP="0094442E">
            <w:pPr>
              <w:jc w:val="center"/>
              <w:rPr>
                <w:rFonts w:ascii="Arial" w:hAnsi="Arial" w:cs="Arial"/>
                <w:sz w:val="20"/>
              </w:rPr>
            </w:pPr>
            <w:r>
              <w:rPr>
                <w:rFonts w:ascii="Arial" w:hAnsi="Arial" w:cs="Arial"/>
                <w:sz w:val="20"/>
              </w:rPr>
              <w:t>Xinia López Corella</w:t>
            </w:r>
          </w:p>
          <w:p w14:paraId="2D82D262" w14:textId="77777777" w:rsidR="0094442E" w:rsidRDefault="0094442E" w:rsidP="0094442E">
            <w:pPr>
              <w:jc w:val="center"/>
              <w:rPr>
                <w:rFonts w:ascii="Arial" w:hAnsi="Arial" w:cs="Arial"/>
                <w:b/>
                <w:sz w:val="20"/>
              </w:rPr>
            </w:pPr>
            <w:r w:rsidRPr="00841A7F">
              <w:rPr>
                <w:rFonts w:ascii="Arial" w:hAnsi="Arial" w:cs="Arial"/>
                <w:b/>
                <w:sz w:val="20"/>
              </w:rPr>
              <w:t xml:space="preserve">Coordinadora </w:t>
            </w:r>
          </w:p>
          <w:p w14:paraId="0ECDBBFE" w14:textId="77777777" w:rsidR="0094442E" w:rsidRPr="00841A7F" w:rsidRDefault="0094442E" w:rsidP="0094442E">
            <w:pPr>
              <w:jc w:val="center"/>
              <w:rPr>
                <w:rFonts w:ascii="Arial" w:hAnsi="Arial" w:cs="Arial"/>
                <w:b/>
                <w:sz w:val="20"/>
              </w:rPr>
            </w:pPr>
            <w:r w:rsidRPr="00841A7F">
              <w:rPr>
                <w:rFonts w:ascii="Arial" w:hAnsi="Arial" w:cs="Arial"/>
                <w:b/>
                <w:sz w:val="20"/>
              </w:rPr>
              <w:t xml:space="preserve">Unidad de Auditoría de Servicios Corporativos </w:t>
            </w:r>
          </w:p>
        </w:tc>
      </w:tr>
      <w:bookmarkEnd w:id="100"/>
    </w:tbl>
    <w:p w14:paraId="0AFAEEC9" w14:textId="77777777" w:rsidR="00190AEF" w:rsidRDefault="00190AEF">
      <w:pPr>
        <w:spacing w:after="0" w:line="240" w:lineRule="auto"/>
        <w:ind w:right="22"/>
        <w:contextualSpacing/>
        <w:jc w:val="center"/>
        <w:rPr>
          <w:rFonts w:ascii="Arial" w:hAnsi="Arial" w:cs="Arial"/>
          <w:b/>
          <w:bCs/>
        </w:rPr>
      </w:pPr>
    </w:p>
    <w:p w14:paraId="64BF8D7F" w14:textId="77777777" w:rsidR="00D919C1" w:rsidRDefault="00D919C1">
      <w:pPr>
        <w:spacing w:after="0" w:line="240" w:lineRule="auto"/>
        <w:ind w:right="22"/>
        <w:contextualSpacing/>
        <w:jc w:val="center"/>
        <w:rPr>
          <w:rFonts w:ascii="Arial" w:hAnsi="Arial" w:cs="Arial"/>
        </w:rPr>
      </w:pPr>
    </w:p>
    <w:p w14:paraId="164F9AF4" w14:textId="77777777" w:rsidR="00D919C1" w:rsidRPr="00B85B62" w:rsidRDefault="00D919C1">
      <w:pPr>
        <w:spacing w:after="0" w:line="240" w:lineRule="auto"/>
        <w:ind w:right="22"/>
        <w:contextualSpacing/>
        <w:jc w:val="center"/>
        <w:rPr>
          <w:rFonts w:ascii="Arial" w:hAnsi="Arial" w:cs="Arial"/>
        </w:rPr>
      </w:pPr>
    </w:p>
    <w:p w14:paraId="06F84A93" w14:textId="77777777" w:rsidR="0055222A" w:rsidRDefault="0055222A">
      <w:pPr>
        <w:spacing w:after="0" w:line="240" w:lineRule="auto"/>
        <w:ind w:right="22"/>
        <w:contextualSpacing/>
        <w:jc w:val="both"/>
        <w:rPr>
          <w:rFonts w:ascii="Arial" w:hAnsi="Arial" w:cs="Arial"/>
          <w:sz w:val="24"/>
          <w:szCs w:val="24"/>
        </w:rPr>
      </w:pPr>
    </w:p>
    <w:p w14:paraId="7E51AB43" w14:textId="77777777" w:rsidR="00296FC1" w:rsidRPr="0043627B" w:rsidRDefault="00296FC1">
      <w:pPr>
        <w:spacing w:after="0" w:line="240" w:lineRule="auto"/>
        <w:ind w:right="22"/>
        <w:contextualSpacing/>
        <w:jc w:val="both"/>
        <w:rPr>
          <w:rFonts w:ascii="Arial" w:hAnsi="Arial" w:cs="Arial"/>
          <w:sz w:val="24"/>
          <w:szCs w:val="24"/>
        </w:rPr>
      </w:pPr>
    </w:p>
    <w:p w14:paraId="1E241C95" w14:textId="77777777" w:rsidR="0055222A" w:rsidRDefault="0055222A">
      <w:pPr>
        <w:spacing w:after="0" w:line="240" w:lineRule="auto"/>
        <w:ind w:right="22"/>
        <w:contextualSpacing/>
        <w:jc w:val="both"/>
        <w:rPr>
          <w:rFonts w:ascii="Arial" w:hAnsi="Arial" w:cs="Arial"/>
          <w:sz w:val="24"/>
          <w:szCs w:val="24"/>
        </w:rPr>
      </w:pPr>
    </w:p>
    <w:p w14:paraId="6A6941B0" w14:textId="77777777" w:rsidR="0041177E" w:rsidRDefault="0041177E">
      <w:pPr>
        <w:spacing w:after="0" w:line="240" w:lineRule="auto"/>
        <w:ind w:right="22"/>
        <w:contextualSpacing/>
        <w:jc w:val="both"/>
        <w:rPr>
          <w:rFonts w:ascii="Arial" w:hAnsi="Arial" w:cs="Arial"/>
          <w:sz w:val="24"/>
          <w:szCs w:val="24"/>
        </w:rPr>
      </w:pPr>
    </w:p>
    <w:p w14:paraId="6309FAAA" w14:textId="77777777" w:rsidR="0041177E" w:rsidRPr="0043627B" w:rsidRDefault="0041177E">
      <w:pPr>
        <w:spacing w:after="0" w:line="240" w:lineRule="auto"/>
        <w:ind w:right="22"/>
        <w:contextualSpacing/>
        <w:jc w:val="both"/>
        <w:rPr>
          <w:rFonts w:ascii="Arial" w:hAnsi="Arial" w:cs="Arial"/>
          <w:sz w:val="24"/>
          <w:szCs w:val="24"/>
        </w:rPr>
      </w:pPr>
    </w:p>
    <w:p w14:paraId="10E24405" w14:textId="77777777" w:rsidR="0055222A" w:rsidRPr="0043627B" w:rsidRDefault="0055222A">
      <w:pPr>
        <w:spacing w:after="0" w:line="240" w:lineRule="auto"/>
        <w:ind w:right="22"/>
        <w:contextualSpacing/>
        <w:jc w:val="both"/>
        <w:rPr>
          <w:rFonts w:ascii="Arial" w:hAnsi="Arial" w:cs="Arial"/>
          <w:sz w:val="24"/>
          <w:szCs w:val="24"/>
        </w:rPr>
      </w:pPr>
    </w:p>
    <w:p w14:paraId="7AF8F69C" w14:textId="77777777" w:rsidR="00522760" w:rsidRPr="0043627B" w:rsidRDefault="00522760" w:rsidP="006C7F40">
      <w:pPr>
        <w:spacing w:after="0" w:line="240" w:lineRule="auto"/>
        <w:ind w:right="23"/>
        <w:contextualSpacing/>
        <w:jc w:val="both"/>
        <w:rPr>
          <w:rFonts w:ascii="Arial" w:hAnsi="Arial" w:cs="Arial"/>
          <w:sz w:val="24"/>
          <w:szCs w:val="24"/>
        </w:rPr>
      </w:pPr>
    </w:p>
    <w:p w14:paraId="3C19B1EA" w14:textId="77777777" w:rsidR="00B835C7" w:rsidRDefault="00B835C7" w:rsidP="00F524F9">
      <w:pPr>
        <w:spacing w:after="0" w:line="240" w:lineRule="auto"/>
        <w:ind w:right="-142"/>
        <w:contextualSpacing/>
        <w:jc w:val="both"/>
        <w:rPr>
          <w:rFonts w:ascii="Arial" w:hAnsi="Arial" w:cs="Arial"/>
          <w:sz w:val="16"/>
          <w:szCs w:val="16"/>
        </w:rPr>
      </w:pPr>
    </w:p>
    <w:p w14:paraId="40CB1F92" w14:textId="4CFCE991" w:rsidR="0055222A" w:rsidRPr="00604B61" w:rsidRDefault="0055222A" w:rsidP="001E4E55">
      <w:pPr>
        <w:spacing w:after="0" w:line="240" w:lineRule="auto"/>
        <w:ind w:right="-142"/>
        <w:contextualSpacing/>
        <w:jc w:val="both"/>
        <w:rPr>
          <w:rFonts w:ascii="Arial" w:hAnsi="Arial" w:cs="Arial"/>
          <w:sz w:val="16"/>
          <w:szCs w:val="16"/>
        </w:rPr>
      </w:pPr>
      <w:r w:rsidRPr="00604B61">
        <w:rPr>
          <w:rFonts w:ascii="Arial" w:hAnsi="Arial" w:cs="Arial"/>
          <w:sz w:val="16"/>
          <w:szCs w:val="16"/>
        </w:rPr>
        <w:t xml:space="preserve">Estudio </w:t>
      </w:r>
      <w:r w:rsidR="00017CD1" w:rsidRPr="00604B61">
        <w:rPr>
          <w:rFonts w:ascii="Arial" w:hAnsi="Arial" w:cs="Arial"/>
          <w:sz w:val="16"/>
          <w:szCs w:val="16"/>
        </w:rPr>
        <w:t>Nº</w:t>
      </w:r>
      <w:r w:rsidRPr="00604B61">
        <w:rPr>
          <w:rFonts w:ascii="Arial" w:hAnsi="Arial" w:cs="Arial"/>
          <w:sz w:val="16"/>
          <w:szCs w:val="16"/>
        </w:rPr>
        <w:t>0</w:t>
      </w:r>
      <w:r w:rsidR="00AD72B4">
        <w:rPr>
          <w:rFonts w:ascii="Arial" w:hAnsi="Arial" w:cs="Arial"/>
          <w:sz w:val="16"/>
          <w:szCs w:val="16"/>
        </w:rPr>
        <w:t>4</w:t>
      </w:r>
      <w:r w:rsidR="0041177E">
        <w:rPr>
          <w:rFonts w:ascii="Arial" w:hAnsi="Arial" w:cs="Arial"/>
          <w:sz w:val="16"/>
          <w:szCs w:val="16"/>
        </w:rPr>
        <w:t>1</w:t>
      </w:r>
      <w:r w:rsidRPr="00604B61">
        <w:rPr>
          <w:rFonts w:ascii="Arial" w:hAnsi="Arial" w:cs="Arial"/>
          <w:sz w:val="16"/>
          <w:szCs w:val="16"/>
        </w:rPr>
        <w:t>-2021</w:t>
      </w:r>
    </w:p>
    <w:p w14:paraId="4B86FB68" w14:textId="7A266F00" w:rsidR="0041177E" w:rsidRDefault="0055222A" w:rsidP="00FD78B2">
      <w:pPr>
        <w:spacing w:after="0" w:line="240" w:lineRule="auto"/>
        <w:ind w:right="23"/>
        <w:contextualSpacing/>
        <w:jc w:val="both"/>
        <w:rPr>
          <w:rFonts w:ascii="Arial" w:hAnsi="Arial" w:cs="Arial"/>
          <w:color w:val="242424"/>
          <w:sz w:val="16"/>
          <w:szCs w:val="16"/>
          <w:shd w:val="clear" w:color="auto" w:fill="FFFFFF"/>
        </w:rPr>
      </w:pPr>
      <w:r w:rsidRPr="0013779D">
        <w:rPr>
          <w:rFonts w:ascii="Arial" w:hAnsi="Arial" w:cs="Arial"/>
          <w:sz w:val="16"/>
          <w:szCs w:val="16"/>
        </w:rPr>
        <w:t>Criterio</w:t>
      </w:r>
      <w:r w:rsidR="00723383" w:rsidRPr="00763C72">
        <w:rPr>
          <w:rFonts w:ascii="Arial" w:hAnsi="Arial" w:cs="Arial"/>
          <w:i/>
          <w:sz w:val="16"/>
          <w:szCs w:val="16"/>
          <w:lang w:val="es-MX"/>
        </w:rPr>
        <w:t>-</w:t>
      </w:r>
      <w:r w:rsidR="001E4AFD">
        <w:rPr>
          <w:rFonts w:ascii="Arial" w:hAnsi="Arial" w:cs="Arial"/>
          <w:i/>
          <w:sz w:val="16"/>
          <w:szCs w:val="16"/>
          <w:lang w:val="es-MX"/>
        </w:rPr>
        <w:t>Contratación Administrativa</w:t>
      </w:r>
    </w:p>
    <w:p w14:paraId="146796AE" w14:textId="77777777" w:rsidR="00FD78B2" w:rsidRDefault="00FD78B2">
      <w:pPr>
        <w:rPr>
          <w:rFonts w:ascii="Arial" w:hAnsi="Arial" w:cs="Arial"/>
          <w:b/>
          <w:bCs/>
          <w:color w:val="44546A" w:themeColor="text2"/>
          <w:sz w:val="16"/>
          <w:szCs w:val="16"/>
        </w:rPr>
      </w:pPr>
    </w:p>
    <w:p w14:paraId="650C5924" w14:textId="3EF711CD" w:rsidR="00FD78B2" w:rsidRDefault="00FD78B2" w:rsidP="00FD78B2">
      <w:pPr>
        <w:spacing w:after="0" w:line="240" w:lineRule="auto"/>
        <w:ind w:right="23"/>
        <w:contextualSpacing/>
        <w:jc w:val="both"/>
        <w:rPr>
          <w:rFonts w:ascii="Arial" w:hAnsi="Arial" w:cs="Arial"/>
          <w:b/>
          <w:bCs/>
          <w:color w:val="44546A" w:themeColor="text2"/>
          <w:sz w:val="16"/>
          <w:szCs w:val="16"/>
        </w:rPr>
      </w:pPr>
    </w:p>
    <w:p w14:paraId="2772B4E6" w14:textId="7692A3B5"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729F53E2" w14:textId="6561EC20"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78AC7E88" w14:textId="0C7F31BA"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06A36C0A" w14:textId="46746957"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7AFA00CC" w14:textId="63FD9C46"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13612789" w14:textId="11368126"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73054221" w14:textId="2BC6D617"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060FEBA1" w14:textId="2BCF269A"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4508B4BE" w14:textId="7A0AABD8"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066F80F9" w14:textId="7EB37B8A"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469747FB" w14:textId="34B142EC"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0F61304E" w14:textId="1E86C846"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33BDF827" w14:textId="19E5B807"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1CD19F70" w14:textId="30DE5CB0"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5D968CF9" w14:textId="73AB1FC5"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06EEB750" w14:textId="0EFB3D86"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5773FFC4" w14:textId="1827E3FD"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4D6215F5" w14:textId="46F148EC"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3187554F" w14:textId="2FE08DCB"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54AC7345" w14:textId="76CF05B0"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7F1A3927" w14:textId="2C0F9610"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6CFCB841" w14:textId="36358AA7"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3F14F804" w14:textId="227B9902"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7AA9963F" w14:textId="56F5FBC0"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35C7E12C" w14:textId="50162874"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7D1AD150" w14:textId="08DCEED7"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1EC35C7D" w14:textId="47BFEB98"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28BE0B4C" w14:textId="1DC43DB9"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0C80B741" w14:textId="4102F24F"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2916954C" w14:textId="626A3ADB"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2060D0E2" w14:textId="3D3A221A" w:rsidR="002563C1" w:rsidRDefault="002563C1" w:rsidP="00FD78B2">
      <w:pPr>
        <w:spacing w:after="0" w:line="240" w:lineRule="auto"/>
        <w:ind w:right="23"/>
        <w:contextualSpacing/>
        <w:jc w:val="both"/>
        <w:rPr>
          <w:rFonts w:ascii="Arial" w:hAnsi="Arial" w:cs="Arial"/>
          <w:b/>
          <w:bCs/>
          <w:color w:val="44546A" w:themeColor="text2"/>
          <w:sz w:val="16"/>
          <w:szCs w:val="16"/>
        </w:rPr>
      </w:pPr>
    </w:p>
    <w:p w14:paraId="25C4A24E" w14:textId="18FD2308" w:rsidR="0055222A" w:rsidRDefault="0055222A" w:rsidP="0096751E">
      <w:pPr>
        <w:jc w:val="center"/>
        <w:rPr>
          <w:rFonts w:ascii="Arial" w:hAnsi="Arial" w:cs="Arial"/>
          <w:b/>
          <w:bCs/>
          <w:color w:val="44546A"/>
          <w:sz w:val="24"/>
          <w:szCs w:val="24"/>
        </w:rPr>
      </w:pPr>
      <w:r w:rsidRPr="0030748B">
        <w:rPr>
          <w:rFonts w:ascii="Arial" w:hAnsi="Arial" w:cs="Arial"/>
          <w:b/>
          <w:bCs/>
          <w:color w:val="44546A"/>
          <w:sz w:val="24"/>
          <w:szCs w:val="24"/>
        </w:rPr>
        <w:t>ANEXO N°1</w:t>
      </w:r>
    </w:p>
    <w:p w14:paraId="46859A65" w14:textId="77777777" w:rsidR="0055222A" w:rsidRPr="0030748B" w:rsidRDefault="0055222A">
      <w:pPr>
        <w:autoSpaceDE w:val="0"/>
        <w:autoSpaceDN w:val="0"/>
        <w:adjustRightInd w:val="0"/>
        <w:spacing w:after="0" w:line="240" w:lineRule="auto"/>
        <w:contextualSpacing/>
        <w:jc w:val="center"/>
        <w:rPr>
          <w:rFonts w:ascii="Arial" w:hAnsi="Arial" w:cs="Arial"/>
          <w:b/>
          <w:bCs/>
          <w:color w:val="44546A"/>
          <w:sz w:val="24"/>
          <w:szCs w:val="24"/>
        </w:rPr>
      </w:pPr>
      <w:r w:rsidRPr="0030748B">
        <w:rPr>
          <w:rFonts w:ascii="Arial" w:hAnsi="Arial" w:cs="Arial"/>
          <w:b/>
          <w:bCs/>
          <w:color w:val="44546A"/>
          <w:sz w:val="24"/>
          <w:szCs w:val="24"/>
        </w:rPr>
        <w:t xml:space="preserve">COMENTARIOS RECIBIDOS DURANTE LA COMUNICACIÓN DE RESULTADOS </w:t>
      </w:r>
    </w:p>
    <w:p w14:paraId="0E80DE20" w14:textId="77777777" w:rsidR="0055222A" w:rsidRPr="0043627B" w:rsidRDefault="0055222A">
      <w:pPr>
        <w:autoSpaceDE w:val="0"/>
        <w:autoSpaceDN w:val="0"/>
        <w:adjustRightInd w:val="0"/>
        <w:spacing w:after="0" w:line="240" w:lineRule="auto"/>
        <w:contextualSpacing/>
        <w:jc w:val="center"/>
        <w:rPr>
          <w:rFonts w:ascii="Arial" w:hAnsi="Arial" w:cs="Arial"/>
          <w:b/>
          <w:bCs/>
          <w:color w:val="000000"/>
          <w:sz w:val="24"/>
          <w:szCs w:val="24"/>
        </w:rPr>
      </w:pPr>
    </w:p>
    <w:tbl>
      <w:tblPr>
        <w:tblW w:w="0" w:type="auto"/>
        <w:tblCellMar>
          <w:left w:w="0" w:type="dxa"/>
          <w:right w:w="0" w:type="dxa"/>
        </w:tblCellMar>
        <w:tblLook w:val="04A0" w:firstRow="1" w:lastRow="0" w:firstColumn="1" w:lastColumn="0" w:noHBand="0" w:noVBand="1"/>
      </w:tblPr>
      <w:tblGrid>
        <w:gridCol w:w="4322"/>
        <w:gridCol w:w="4305"/>
      </w:tblGrid>
      <w:tr w:rsidR="0041177E" w:rsidRPr="007C2CA4" w14:paraId="00DB87DB" w14:textId="77777777" w:rsidTr="00DA27B1">
        <w:trPr>
          <w:tblHeader/>
        </w:trPr>
        <w:tc>
          <w:tcPr>
            <w:tcW w:w="4322"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00D62568" w14:textId="77777777" w:rsidR="0041177E" w:rsidRPr="00CF6993" w:rsidRDefault="0041177E" w:rsidP="003D6FC8">
            <w:pPr>
              <w:spacing w:before="100" w:beforeAutospacing="1" w:after="100" w:afterAutospacing="1" w:line="240" w:lineRule="auto"/>
              <w:contextualSpacing/>
              <w:jc w:val="center"/>
              <w:rPr>
                <w:rFonts w:ascii="Arial" w:hAnsi="Arial" w:cs="Arial"/>
                <w:b/>
                <w:bCs/>
                <w:lang w:eastAsia="es-CR"/>
              </w:rPr>
            </w:pPr>
            <w:bookmarkStart w:id="102" w:name="_Hlk77585322"/>
            <w:r w:rsidRPr="00CF6993">
              <w:rPr>
                <w:rFonts w:ascii="Arial" w:hAnsi="Arial" w:cs="Arial"/>
                <w:b/>
                <w:bCs/>
                <w:lang w:eastAsia="es-CR"/>
              </w:rPr>
              <w:t>Comentarios</w:t>
            </w:r>
          </w:p>
        </w:tc>
        <w:tc>
          <w:tcPr>
            <w:tcW w:w="4305"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3265A79A" w14:textId="77777777" w:rsidR="0041177E" w:rsidRPr="00CF6993" w:rsidRDefault="0041177E" w:rsidP="003D6FC8">
            <w:pPr>
              <w:spacing w:before="100" w:beforeAutospacing="1" w:after="100" w:afterAutospacing="1" w:line="240" w:lineRule="auto"/>
              <w:contextualSpacing/>
              <w:jc w:val="center"/>
              <w:rPr>
                <w:rFonts w:ascii="Arial" w:eastAsia="Calibri" w:hAnsi="Arial" w:cs="Arial"/>
                <w:b/>
                <w:bCs/>
                <w:lang w:eastAsia="es-CR"/>
              </w:rPr>
            </w:pPr>
            <w:r w:rsidRPr="00CF6993">
              <w:rPr>
                <w:rFonts w:ascii="Arial" w:hAnsi="Arial" w:cs="Arial"/>
                <w:b/>
                <w:bCs/>
                <w:lang w:eastAsia="es-CR"/>
              </w:rPr>
              <w:t>Valoración</w:t>
            </w:r>
          </w:p>
        </w:tc>
      </w:tr>
      <w:tr w:rsidR="0041177E" w:rsidRPr="007C2CA4" w14:paraId="7958FB6A" w14:textId="77777777" w:rsidTr="00DA27B1">
        <w:trPr>
          <w:trHeight w:val="450"/>
        </w:trPr>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F7916D" w14:textId="14142B61" w:rsidR="0041177E" w:rsidRPr="00BE2E17" w:rsidRDefault="0041177E" w:rsidP="003D6FC8">
            <w:pPr>
              <w:autoSpaceDE w:val="0"/>
              <w:autoSpaceDN w:val="0"/>
              <w:adjustRightInd w:val="0"/>
              <w:spacing w:before="100" w:beforeAutospacing="1" w:after="100" w:afterAutospacing="1" w:line="240" w:lineRule="auto"/>
              <w:contextualSpacing/>
              <w:jc w:val="both"/>
              <w:rPr>
                <w:rFonts w:ascii="Arial" w:hAnsi="Arial" w:cs="Arial"/>
                <w:szCs w:val="24"/>
              </w:rPr>
            </w:pPr>
            <w:r w:rsidRPr="00BE2E17">
              <w:rPr>
                <w:rFonts w:ascii="Arial" w:hAnsi="Arial" w:cs="Arial"/>
                <w:szCs w:val="24"/>
              </w:rPr>
              <w:t xml:space="preserve">Sobre la recomendación 4.1, </w:t>
            </w:r>
            <w:r w:rsidR="0015442C" w:rsidRPr="0015442C">
              <w:rPr>
                <w:rFonts w:ascii="Arial" w:hAnsi="Arial" w:cs="Arial"/>
                <w:szCs w:val="24"/>
              </w:rPr>
              <w:t>se establece el siguiente plazo para atender la recomendación: 30 de noviembre 2022</w:t>
            </w:r>
            <w:r w:rsidR="0015442C">
              <w:rPr>
                <w:rFonts w:ascii="Arial" w:hAnsi="Arial" w:cs="Arial"/>
                <w:szCs w:val="24"/>
              </w:rPr>
              <w:t>.</w:t>
            </w:r>
          </w:p>
        </w:tc>
        <w:tc>
          <w:tcPr>
            <w:tcW w:w="43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492A88D" w14:textId="2A0B47FE" w:rsidR="0041177E" w:rsidRPr="00105E4B" w:rsidRDefault="00105E4B" w:rsidP="003D6FC8">
            <w:pPr>
              <w:autoSpaceDE w:val="0"/>
              <w:autoSpaceDN w:val="0"/>
              <w:adjustRightInd w:val="0"/>
              <w:spacing w:before="100" w:beforeAutospacing="1" w:after="100" w:afterAutospacing="1" w:line="240" w:lineRule="auto"/>
              <w:contextualSpacing/>
              <w:jc w:val="both"/>
              <w:rPr>
                <w:rFonts w:ascii="Arial" w:hAnsi="Arial" w:cs="Arial"/>
                <w:bCs/>
                <w:lang w:eastAsia="es-CR"/>
              </w:rPr>
            </w:pPr>
            <w:r w:rsidRPr="00105E4B">
              <w:rPr>
                <w:rFonts w:ascii="Arial" w:hAnsi="Arial" w:cs="Arial"/>
                <w:bCs/>
                <w:lang w:eastAsia="es-CR"/>
              </w:rPr>
              <w:t>Al respecto, la Auditoría Interna está de acuerdo en considerar el plazo establecido por la Oficialía Mayo</w:t>
            </w:r>
            <w:r w:rsidR="0015442C">
              <w:rPr>
                <w:rFonts w:ascii="Arial" w:hAnsi="Arial" w:cs="Arial"/>
                <w:bCs/>
                <w:lang w:eastAsia="es-CR"/>
              </w:rPr>
              <w:t>r</w:t>
            </w:r>
            <w:r w:rsidRPr="00105E4B">
              <w:rPr>
                <w:rFonts w:ascii="Arial" w:hAnsi="Arial" w:cs="Arial"/>
                <w:bCs/>
                <w:lang w:eastAsia="es-CR"/>
              </w:rPr>
              <w:t>, Dirección Administrativa y Financiera</w:t>
            </w:r>
            <w:r w:rsidR="0015442C" w:rsidRPr="0015442C">
              <w:rPr>
                <w:rFonts w:ascii="Arial" w:hAnsi="Arial" w:cs="Arial"/>
                <w:bCs/>
                <w:lang w:eastAsia="es-CR"/>
              </w:rPr>
              <w:t>; asimismo, en términos generales se estuvo de acuerdo con el resultado y la recomendación emitida.</w:t>
            </w:r>
          </w:p>
        </w:tc>
      </w:tr>
      <w:tr w:rsidR="0041177E" w:rsidRPr="007C2CA4" w14:paraId="76A8B9AA" w14:textId="77777777" w:rsidTr="00DA27B1">
        <w:trPr>
          <w:trHeight w:val="454"/>
        </w:trPr>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B204AC" w14:textId="040603DD" w:rsidR="0041177E" w:rsidRPr="00BE2E17" w:rsidRDefault="0041177E" w:rsidP="003D6FC8">
            <w:pPr>
              <w:autoSpaceDE w:val="0"/>
              <w:autoSpaceDN w:val="0"/>
              <w:adjustRightInd w:val="0"/>
              <w:spacing w:after="0" w:line="240" w:lineRule="auto"/>
              <w:jc w:val="both"/>
              <w:rPr>
                <w:rFonts w:ascii="Arial" w:hAnsi="Arial" w:cs="Arial"/>
                <w:szCs w:val="24"/>
              </w:rPr>
            </w:pPr>
            <w:r w:rsidRPr="00BE2E17">
              <w:rPr>
                <w:rFonts w:ascii="Arial" w:hAnsi="Arial" w:cs="Arial"/>
                <w:szCs w:val="24"/>
              </w:rPr>
              <w:t xml:space="preserve">Sobre la recomendación 4.2, </w:t>
            </w:r>
            <w:r w:rsidR="0015442C" w:rsidRPr="0015442C">
              <w:rPr>
                <w:rFonts w:ascii="Arial" w:hAnsi="Arial" w:cs="Arial"/>
                <w:szCs w:val="24"/>
              </w:rPr>
              <w:t>se establece el siguiente plazo para atender la recomendación: 30 de noviembre 2022</w:t>
            </w:r>
            <w:r w:rsidR="0015442C">
              <w:rPr>
                <w:rFonts w:ascii="Arial" w:hAnsi="Arial" w:cs="Arial"/>
                <w:szCs w:val="24"/>
              </w:rPr>
              <w:t>.</w:t>
            </w:r>
          </w:p>
        </w:tc>
        <w:tc>
          <w:tcPr>
            <w:tcW w:w="43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6A1B5D" w14:textId="296F9CE7" w:rsidR="0041177E" w:rsidRPr="002A0ECA" w:rsidRDefault="0015442C" w:rsidP="003D6FC8">
            <w:pPr>
              <w:autoSpaceDE w:val="0"/>
              <w:autoSpaceDN w:val="0"/>
              <w:adjustRightInd w:val="0"/>
              <w:spacing w:after="0" w:line="240" w:lineRule="auto"/>
              <w:jc w:val="both"/>
              <w:rPr>
                <w:rFonts w:ascii="Arial" w:hAnsi="Arial" w:cs="Arial"/>
                <w:szCs w:val="24"/>
              </w:rPr>
            </w:pPr>
            <w:r w:rsidRPr="00105E4B">
              <w:rPr>
                <w:rFonts w:ascii="Arial" w:hAnsi="Arial" w:cs="Arial"/>
                <w:bCs/>
                <w:lang w:eastAsia="es-CR"/>
              </w:rPr>
              <w:t>Al respecto, la Auditoría Interna está de acuerdo en considerar el plazo establecido por la Oficialía Mayo</w:t>
            </w:r>
            <w:r>
              <w:rPr>
                <w:rFonts w:ascii="Arial" w:hAnsi="Arial" w:cs="Arial"/>
                <w:bCs/>
                <w:lang w:eastAsia="es-CR"/>
              </w:rPr>
              <w:t>r</w:t>
            </w:r>
            <w:r w:rsidRPr="00105E4B">
              <w:rPr>
                <w:rFonts w:ascii="Arial" w:hAnsi="Arial" w:cs="Arial"/>
                <w:bCs/>
                <w:lang w:eastAsia="es-CR"/>
              </w:rPr>
              <w:t>, Dirección Administrativa y Financiera</w:t>
            </w:r>
            <w:r w:rsidRPr="0015442C">
              <w:rPr>
                <w:rFonts w:ascii="Arial" w:hAnsi="Arial" w:cs="Arial"/>
                <w:bCs/>
                <w:lang w:eastAsia="es-CR"/>
              </w:rPr>
              <w:t>; asimismo, en términos generales se estuvo de acuerdo con el resultado y la recomendación emitida.</w:t>
            </w:r>
          </w:p>
        </w:tc>
      </w:tr>
      <w:tr w:rsidR="0041177E" w:rsidRPr="007C2CA4" w14:paraId="590E4004" w14:textId="77777777" w:rsidTr="00DA27B1">
        <w:trPr>
          <w:trHeight w:val="486"/>
        </w:trPr>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E7AAC4" w14:textId="75CEF7BE" w:rsidR="0041177E" w:rsidRPr="00BE2E17" w:rsidRDefault="0041177E" w:rsidP="003D6FC8">
            <w:pPr>
              <w:autoSpaceDE w:val="0"/>
              <w:autoSpaceDN w:val="0"/>
              <w:adjustRightInd w:val="0"/>
              <w:spacing w:after="0" w:line="240" w:lineRule="auto"/>
              <w:jc w:val="both"/>
              <w:rPr>
                <w:rFonts w:ascii="Arial" w:hAnsi="Arial" w:cs="Arial"/>
                <w:szCs w:val="24"/>
              </w:rPr>
            </w:pPr>
            <w:r w:rsidRPr="00BE2E17">
              <w:rPr>
                <w:rFonts w:ascii="Arial" w:hAnsi="Arial" w:cs="Arial"/>
                <w:szCs w:val="24"/>
              </w:rPr>
              <w:t>Sobre la recomendación 4.</w:t>
            </w:r>
            <w:r>
              <w:rPr>
                <w:rFonts w:ascii="Arial" w:hAnsi="Arial" w:cs="Arial"/>
                <w:szCs w:val="24"/>
              </w:rPr>
              <w:t>3</w:t>
            </w:r>
            <w:r w:rsidRPr="00BE2E17">
              <w:rPr>
                <w:rFonts w:ascii="Arial" w:hAnsi="Arial" w:cs="Arial"/>
                <w:szCs w:val="24"/>
              </w:rPr>
              <w:t xml:space="preserve">, </w:t>
            </w:r>
            <w:r w:rsidR="0015442C" w:rsidRPr="0015442C">
              <w:rPr>
                <w:rFonts w:ascii="Arial" w:hAnsi="Arial" w:cs="Arial"/>
                <w:szCs w:val="24"/>
              </w:rPr>
              <w:t>se establece el siguiente plazo para atender la recomendación: 30 de noviembre 2022</w:t>
            </w:r>
            <w:r w:rsidR="0015442C">
              <w:rPr>
                <w:rFonts w:ascii="Arial" w:hAnsi="Arial" w:cs="Arial"/>
                <w:szCs w:val="24"/>
              </w:rPr>
              <w:t>.</w:t>
            </w:r>
          </w:p>
        </w:tc>
        <w:tc>
          <w:tcPr>
            <w:tcW w:w="43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F8EEC5B" w14:textId="39E30E54" w:rsidR="0041177E" w:rsidRPr="002A0ECA" w:rsidRDefault="0015442C" w:rsidP="003D6FC8">
            <w:pPr>
              <w:autoSpaceDE w:val="0"/>
              <w:autoSpaceDN w:val="0"/>
              <w:adjustRightInd w:val="0"/>
              <w:spacing w:after="0" w:line="240" w:lineRule="auto"/>
              <w:jc w:val="both"/>
              <w:rPr>
                <w:rFonts w:ascii="Arial" w:hAnsi="Arial" w:cs="Arial"/>
                <w:szCs w:val="24"/>
              </w:rPr>
            </w:pPr>
            <w:r w:rsidRPr="00105E4B">
              <w:rPr>
                <w:rFonts w:ascii="Arial" w:hAnsi="Arial" w:cs="Arial"/>
                <w:bCs/>
                <w:lang w:eastAsia="es-CR"/>
              </w:rPr>
              <w:t>Al respecto, la Auditoría Interna está de acuerdo en considerar el plazo establecido por la Oficialía Mayo</w:t>
            </w:r>
            <w:r>
              <w:rPr>
                <w:rFonts w:ascii="Arial" w:hAnsi="Arial" w:cs="Arial"/>
                <w:bCs/>
                <w:lang w:eastAsia="es-CR"/>
              </w:rPr>
              <w:t>r</w:t>
            </w:r>
            <w:r w:rsidRPr="00105E4B">
              <w:rPr>
                <w:rFonts w:ascii="Arial" w:hAnsi="Arial" w:cs="Arial"/>
                <w:bCs/>
                <w:lang w:eastAsia="es-CR"/>
              </w:rPr>
              <w:t>, Dirección Administrativa y Financiera</w:t>
            </w:r>
            <w:r w:rsidRPr="0015442C">
              <w:rPr>
                <w:rFonts w:ascii="Arial" w:hAnsi="Arial" w:cs="Arial"/>
                <w:bCs/>
                <w:lang w:eastAsia="es-CR"/>
              </w:rPr>
              <w:t>; asimismo, en términos generales se estuvo de acuerdo con el resultado y la recomendación emitida.</w:t>
            </w:r>
          </w:p>
        </w:tc>
      </w:tr>
      <w:tr w:rsidR="0041177E" w:rsidRPr="007C2CA4" w14:paraId="73589F22" w14:textId="77777777" w:rsidTr="00DA27B1">
        <w:trPr>
          <w:trHeight w:val="414"/>
        </w:trPr>
        <w:tc>
          <w:tcPr>
            <w:tcW w:w="4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BAB518" w14:textId="693EF22C" w:rsidR="0041177E" w:rsidRPr="00BE2E17" w:rsidRDefault="0041177E" w:rsidP="003D6FC8">
            <w:pPr>
              <w:autoSpaceDE w:val="0"/>
              <w:autoSpaceDN w:val="0"/>
              <w:adjustRightInd w:val="0"/>
              <w:spacing w:after="0" w:line="240" w:lineRule="auto"/>
              <w:contextualSpacing/>
              <w:jc w:val="both"/>
              <w:rPr>
                <w:rFonts w:ascii="Arial" w:hAnsi="Arial" w:cs="Arial"/>
                <w:szCs w:val="24"/>
              </w:rPr>
            </w:pPr>
            <w:r w:rsidRPr="00BE2E17">
              <w:rPr>
                <w:rFonts w:ascii="Arial" w:hAnsi="Arial" w:cs="Arial"/>
                <w:szCs w:val="24"/>
              </w:rPr>
              <w:t>Sobre la recomendación 4.</w:t>
            </w:r>
            <w:r>
              <w:rPr>
                <w:rFonts w:ascii="Arial" w:hAnsi="Arial" w:cs="Arial"/>
                <w:szCs w:val="24"/>
              </w:rPr>
              <w:t>4</w:t>
            </w:r>
            <w:r w:rsidRPr="00BE2E17">
              <w:rPr>
                <w:rFonts w:ascii="Arial" w:hAnsi="Arial" w:cs="Arial"/>
                <w:szCs w:val="24"/>
              </w:rPr>
              <w:t xml:space="preserve">, </w:t>
            </w:r>
            <w:r w:rsidR="0015442C">
              <w:rPr>
                <w:rFonts w:ascii="Arial" w:hAnsi="Arial" w:cs="Arial"/>
                <w:szCs w:val="24"/>
              </w:rPr>
              <w:t xml:space="preserve">se </w:t>
            </w:r>
            <w:r w:rsidR="0015442C" w:rsidRPr="0015442C">
              <w:rPr>
                <w:rFonts w:ascii="Arial" w:hAnsi="Arial" w:cs="Arial"/>
                <w:szCs w:val="24"/>
              </w:rPr>
              <w:t xml:space="preserve">propone que la recomendación </w:t>
            </w:r>
            <w:r w:rsidR="0015442C">
              <w:rPr>
                <w:rFonts w:ascii="Arial" w:hAnsi="Arial" w:cs="Arial"/>
                <w:szCs w:val="24"/>
              </w:rPr>
              <w:t xml:space="preserve">sea </w:t>
            </w:r>
            <w:r w:rsidR="0015442C" w:rsidRPr="0015442C">
              <w:rPr>
                <w:rFonts w:ascii="Arial" w:hAnsi="Arial" w:cs="Arial"/>
                <w:szCs w:val="24"/>
              </w:rPr>
              <w:t xml:space="preserve">dirigida a la Oficial Mayor y Dirección Administrativa y Financiera, y que el plazo para atender la misma </w:t>
            </w:r>
            <w:r w:rsidR="0015442C">
              <w:rPr>
                <w:rFonts w:ascii="Arial" w:hAnsi="Arial" w:cs="Arial"/>
                <w:szCs w:val="24"/>
              </w:rPr>
              <w:t>sea</w:t>
            </w:r>
            <w:r w:rsidR="0015442C" w:rsidRPr="0015442C">
              <w:rPr>
                <w:rFonts w:ascii="Arial" w:hAnsi="Arial" w:cs="Arial"/>
                <w:szCs w:val="24"/>
              </w:rPr>
              <w:t xml:space="preserve"> al 28 de febrero 2023.</w:t>
            </w:r>
          </w:p>
        </w:tc>
        <w:tc>
          <w:tcPr>
            <w:tcW w:w="430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FC212D1" w14:textId="31E14470" w:rsidR="0041177E" w:rsidRPr="00AB6EA2" w:rsidRDefault="0015442C" w:rsidP="003D6FC8">
            <w:pPr>
              <w:autoSpaceDE w:val="0"/>
              <w:autoSpaceDN w:val="0"/>
              <w:adjustRightInd w:val="0"/>
              <w:spacing w:after="0" w:line="240" w:lineRule="auto"/>
              <w:jc w:val="both"/>
              <w:rPr>
                <w:rFonts w:ascii="Arial" w:hAnsi="Arial" w:cs="Arial"/>
                <w:szCs w:val="24"/>
              </w:rPr>
            </w:pPr>
            <w:r w:rsidRPr="0015442C">
              <w:rPr>
                <w:rFonts w:ascii="Arial" w:hAnsi="Arial" w:cs="Arial"/>
                <w:szCs w:val="24"/>
              </w:rPr>
              <w:t xml:space="preserve">Al respecto, la Auditoría Interna está de acuerdo en considerar lo referido por la </w:t>
            </w:r>
            <w:r>
              <w:rPr>
                <w:rFonts w:ascii="Arial" w:hAnsi="Arial" w:cs="Arial"/>
                <w:szCs w:val="24"/>
              </w:rPr>
              <w:t xml:space="preserve">Oficialía Mayor, Dirección Administrativa y Financiera, por lo cual </w:t>
            </w:r>
            <w:r w:rsidRPr="0015442C">
              <w:rPr>
                <w:rFonts w:ascii="Arial" w:hAnsi="Arial" w:cs="Arial"/>
                <w:szCs w:val="24"/>
              </w:rPr>
              <w:t>en términos generales se estuvo de acuerdo con el resultado y la recomendación emitida.</w:t>
            </w:r>
          </w:p>
        </w:tc>
      </w:tr>
      <w:bookmarkEnd w:id="102"/>
    </w:tbl>
    <w:p w14:paraId="29DDD8EF" w14:textId="77777777" w:rsidR="00562F1A" w:rsidRDefault="00562F1A" w:rsidP="006C7F40">
      <w:pPr>
        <w:spacing w:after="0" w:line="240" w:lineRule="auto"/>
        <w:contextualSpacing/>
        <w:jc w:val="both"/>
        <w:rPr>
          <w:rFonts w:ascii="Arial" w:hAnsi="Arial" w:cs="Arial"/>
          <w:b/>
          <w:sz w:val="18"/>
          <w:szCs w:val="18"/>
        </w:rPr>
      </w:pPr>
    </w:p>
    <w:p w14:paraId="3ED80CC9" w14:textId="77777777" w:rsidR="0055222A" w:rsidRDefault="0055222A" w:rsidP="00F524F9">
      <w:pPr>
        <w:spacing w:after="0" w:line="240" w:lineRule="auto"/>
        <w:contextualSpacing/>
        <w:jc w:val="both"/>
        <w:rPr>
          <w:rFonts w:ascii="Arial" w:hAnsi="Arial" w:cs="Arial"/>
          <w:sz w:val="18"/>
          <w:szCs w:val="18"/>
        </w:rPr>
      </w:pPr>
      <w:r w:rsidRPr="0041177E">
        <w:rPr>
          <w:rFonts w:ascii="Arial" w:hAnsi="Arial" w:cs="Arial"/>
          <w:sz w:val="18"/>
          <w:szCs w:val="18"/>
        </w:rPr>
        <w:t>Fuente:</w:t>
      </w:r>
      <w:r w:rsidRPr="005E501C">
        <w:rPr>
          <w:rFonts w:ascii="Arial" w:hAnsi="Arial" w:cs="Arial"/>
          <w:sz w:val="18"/>
          <w:szCs w:val="18"/>
        </w:rPr>
        <w:t xml:space="preserve"> Acta de comunicación de resultados del estudio No. </w:t>
      </w:r>
      <w:r w:rsidR="00065069">
        <w:rPr>
          <w:rFonts w:ascii="Arial" w:hAnsi="Arial" w:cs="Arial"/>
          <w:sz w:val="18"/>
          <w:szCs w:val="18"/>
        </w:rPr>
        <w:t>0</w:t>
      </w:r>
      <w:r w:rsidR="00EB0625">
        <w:rPr>
          <w:rFonts w:ascii="Arial" w:hAnsi="Arial" w:cs="Arial"/>
          <w:sz w:val="18"/>
          <w:szCs w:val="18"/>
        </w:rPr>
        <w:t>4</w:t>
      </w:r>
      <w:r w:rsidR="0041177E">
        <w:rPr>
          <w:rFonts w:ascii="Arial" w:hAnsi="Arial" w:cs="Arial"/>
          <w:sz w:val="18"/>
          <w:szCs w:val="18"/>
        </w:rPr>
        <w:t>1</w:t>
      </w:r>
      <w:r w:rsidR="00065069">
        <w:rPr>
          <w:rFonts w:ascii="Arial" w:hAnsi="Arial" w:cs="Arial"/>
          <w:sz w:val="18"/>
          <w:szCs w:val="18"/>
        </w:rPr>
        <w:t>-2021.</w:t>
      </w:r>
    </w:p>
    <w:p w14:paraId="016F4B32" w14:textId="77777777" w:rsidR="00A62D36" w:rsidRDefault="00A62D36" w:rsidP="00F524F9">
      <w:pPr>
        <w:spacing w:after="0" w:line="240" w:lineRule="auto"/>
        <w:contextualSpacing/>
        <w:jc w:val="both"/>
        <w:rPr>
          <w:rFonts w:ascii="Arial" w:hAnsi="Arial" w:cs="Arial"/>
          <w:sz w:val="18"/>
          <w:szCs w:val="18"/>
        </w:rPr>
      </w:pPr>
    </w:p>
    <w:p w14:paraId="25A47E47" w14:textId="77777777" w:rsidR="00A62D36" w:rsidRDefault="00A62D36">
      <w:pPr>
        <w:rPr>
          <w:rFonts w:ascii="Arial" w:hAnsi="Arial" w:cs="Arial"/>
          <w:sz w:val="18"/>
          <w:szCs w:val="18"/>
        </w:rPr>
      </w:pPr>
      <w:r>
        <w:rPr>
          <w:rFonts w:ascii="Arial" w:hAnsi="Arial" w:cs="Arial"/>
          <w:sz w:val="18"/>
          <w:szCs w:val="18"/>
        </w:rPr>
        <w:br w:type="page"/>
      </w:r>
    </w:p>
    <w:p w14:paraId="328D3DB7" w14:textId="77777777" w:rsidR="00A62D36" w:rsidRDefault="00750445" w:rsidP="00A62D36">
      <w:pPr>
        <w:autoSpaceDE w:val="0"/>
        <w:autoSpaceDN w:val="0"/>
        <w:adjustRightInd w:val="0"/>
        <w:spacing w:after="0" w:line="240" w:lineRule="auto"/>
        <w:contextualSpacing/>
        <w:jc w:val="center"/>
        <w:rPr>
          <w:rFonts w:ascii="Arial" w:hAnsi="Arial" w:cs="Arial"/>
          <w:b/>
          <w:bCs/>
          <w:color w:val="44546A"/>
          <w:sz w:val="24"/>
          <w:szCs w:val="24"/>
        </w:rPr>
      </w:pPr>
      <w:r w:rsidRPr="00A62D36">
        <w:rPr>
          <w:rFonts w:ascii="Arial" w:hAnsi="Arial" w:cs="Arial"/>
          <w:b/>
          <w:bCs/>
          <w:color w:val="44546A"/>
          <w:sz w:val="24"/>
          <w:szCs w:val="24"/>
        </w:rPr>
        <w:lastRenderedPageBreak/>
        <w:t>ANEXO Nº2</w:t>
      </w:r>
    </w:p>
    <w:p w14:paraId="6F85653D" w14:textId="77777777" w:rsidR="00A62D36" w:rsidRPr="00A62D36" w:rsidRDefault="00A62D36" w:rsidP="00A62D36">
      <w:pPr>
        <w:autoSpaceDE w:val="0"/>
        <w:autoSpaceDN w:val="0"/>
        <w:adjustRightInd w:val="0"/>
        <w:spacing w:after="0" w:line="240" w:lineRule="auto"/>
        <w:contextualSpacing/>
        <w:jc w:val="center"/>
        <w:rPr>
          <w:rFonts w:ascii="Arial" w:hAnsi="Arial" w:cs="Arial"/>
          <w:b/>
          <w:bCs/>
          <w:color w:val="44546A"/>
          <w:sz w:val="24"/>
          <w:szCs w:val="24"/>
        </w:rPr>
      </w:pPr>
    </w:p>
    <w:p w14:paraId="6B89CFDA" w14:textId="77777777" w:rsidR="00A62D36" w:rsidRPr="00A62D36" w:rsidRDefault="00750445" w:rsidP="00A62D36">
      <w:pPr>
        <w:autoSpaceDE w:val="0"/>
        <w:autoSpaceDN w:val="0"/>
        <w:adjustRightInd w:val="0"/>
        <w:spacing w:after="0" w:line="240" w:lineRule="auto"/>
        <w:contextualSpacing/>
        <w:jc w:val="center"/>
        <w:rPr>
          <w:rFonts w:ascii="Arial" w:hAnsi="Arial" w:cs="Arial"/>
          <w:b/>
          <w:bCs/>
          <w:color w:val="44546A"/>
          <w:sz w:val="24"/>
          <w:szCs w:val="24"/>
        </w:rPr>
      </w:pPr>
      <w:r w:rsidRPr="00A62D36">
        <w:rPr>
          <w:rFonts w:ascii="Arial" w:hAnsi="Arial" w:cs="Arial"/>
          <w:b/>
          <w:bCs/>
          <w:color w:val="44546A"/>
          <w:sz w:val="24"/>
          <w:szCs w:val="24"/>
        </w:rPr>
        <w:t>PROCEDIMIENTOS DE CONTRATACIÓN CON AUSENCIA DE GUÍAS DE TRABAJO Y DOCUMENTOS DE CONTROL EN EL EXPEDIENTE ELECTRÓNICO DEL SICOP</w:t>
      </w:r>
    </w:p>
    <w:p w14:paraId="20F7DC01" w14:textId="77777777" w:rsidR="00A62D36" w:rsidRPr="00ED6BA8" w:rsidRDefault="00A62D36" w:rsidP="00A62D36">
      <w:pPr>
        <w:spacing w:line="276" w:lineRule="auto"/>
        <w:ind w:left="567" w:right="708"/>
        <w:contextualSpacing/>
        <w:jc w:val="center"/>
        <w:rPr>
          <w:rFonts w:ascii="Arial" w:eastAsia="Times New Roman" w:hAnsi="Arial" w:cs="Arial"/>
          <w:b/>
          <w:color w:val="44546A" w:themeColor="text2"/>
          <w:lang w:eastAsia="es-CR"/>
        </w:rPr>
      </w:pPr>
    </w:p>
    <w:tbl>
      <w:tblPr>
        <w:tblW w:w="6955" w:type="dxa"/>
        <w:jc w:val="center"/>
        <w:tblCellMar>
          <w:left w:w="70" w:type="dxa"/>
          <w:right w:w="70" w:type="dxa"/>
        </w:tblCellMar>
        <w:tblLook w:val="04A0" w:firstRow="1" w:lastRow="0" w:firstColumn="1" w:lastColumn="0" w:noHBand="0" w:noVBand="1"/>
      </w:tblPr>
      <w:tblGrid>
        <w:gridCol w:w="2739"/>
        <w:gridCol w:w="1457"/>
        <w:gridCol w:w="1418"/>
        <w:gridCol w:w="1341"/>
      </w:tblGrid>
      <w:tr w:rsidR="00A62D36" w:rsidRPr="00C85C74" w14:paraId="73543BCB" w14:textId="77777777" w:rsidTr="00C921DB">
        <w:trPr>
          <w:trHeight w:val="560"/>
          <w:jc w:val="center"/>
        </w:trPr>
        <w:tc>
          <w:tcPr>
            <w:tcW w:w="2766" w:type="dxa"/>
            <w:tcBorders>
              <w:top w:val="nil"/>
              <w:left w:val="nil"/>
              <w:bottom w:val="nil"/>
              <w:right w:val="nil"/>
            </w:tcBorders>
            <w:shd w:val="clear" w:color="000000" w:fill="203764"/>
            <w:vAlign w:val="center"/>
            <w:hideMark/>
          </w:tcPr>
          <w:p w14:paraId="5FBFC4F0" w14:textId="77777777" w:rsidR="00A62D36" w:rsidRPr="00C85C74" w:rsidRDefault="00A62D36" w:rsidP="00C921DB">
            <w:pPr>
              <w:spacing w:after="0" w:line="240" w:lineRule="auto"/>
              <w:jc w:val="center"/>
              <w:rPr>
                <w:rFonts w:ascii="Calibri" w:eastAsia="Times New Roman" w:hAnsi="Calibri" w:cs="Calibri"/>
                <w:b/>
                <w:bCs/>
                <w:color w:val="FFFFFF"/>
                <w:sz w:val="20"/>
                <w:szCs w:val="20"/>
                <w:lang w:eastAsia="es-CR"/>
              </w:rPr>
            </w:pPr>
            <w:r w:rsidRPr="00C85C74">
              <w:rPr>
                <w:rFonts w:ascii="Calibri" w:eastAsia="Times New Roman" w:hAnsi="Calibri" w:cs="Calibri"/>
                <w:b/>
                <w:bCs/>
                <w:color w:val="FFFFFF"/>
                <w:sz w:val="20"/>
                <w:szCs w:val="20"/>
                <w:lang w:eastAsia="es-CR"/>
              </w:rPr>
              <w:t>PROCEDIMIENTO</w:t>
            </w:r>
          </w:p>
        </w:tc>
        <w:tc>
          <w:tcPr>
            <w:tcW w:w="1457" w:type="dxa"/>
            <w:tcBorders>
              <w:top w:val="nil"/>
              <w:left w:val="nil"/>
              <w:bottom w:val="nil"/>
              <w:right w:val="nil"/>
            </w:tcBorders>
            <w:shd w:val="clear" w:color="000000" w:fill="203764"/>
            <w:vAlign w:val="center"/>
            <w:hideMark/>
          </w:tcPr>
          <w:p w14:paraId="5AF31C54" w14:textId="77777777" w:rsidR="00A62D36" w:rsidRPr="00C85C74" w:rsidRDefault="00A62D36" w:rsidP="00C921DB">
            <w:pPr>
              <w:spacing w:after="0" w:line="240" w:lineRule="auto"/>
              <w:jc w:val="center"/>
              <w:rPr>
                <w:rFonts w:ascii="Calibri" w:eastAsia="Times New Roman" w:hAnsi="Calibri" w:cs="Calibri"/>
                <w:b/>
                <w:bCs/>
                <w:color w:val="FFFFFF"/>
                <w:sz w:val="20"/>
                <w:szCs w:val="20"/>
                <w:lang w:eastAsia="es-CR"/>
              </w:rPr>
            </w:pPr>
            <w:r w:rsidRPr="00C85C74">
              <w:rPr>
                <w:rFonts w:ascii="Calibri" w:eastAsia="Times New Roman" w:hAnsi="Calibri" w:cs="Calibri"/>
                <w:b/>
                <w:bCs/>
                <w:color w:val="FFFFFF"/>
                <w:sz w:val="20"/>
                <w:szCs w:val="20"/>
                <w:lang w:eastAsia="es-CR"/>
              </w:rPr>
              <w:t>BITÁCORA</w:t>
            </w:r>
          </w:p>
        </w:tc>
        <w:tc>
          <w:tcPr>
            <w:tcW w:w="1391" w:type="dxa"/>
            <w:tcBorders>
              <w:top w:val="nil"/>
              <w:left w:val="nil"/>
              <w:bottom w:val="nil"/>
              <w:right w:val="nil"/>
            </w:tcBorders>
            <w:shd w:val="clear" w:color="000000" w:fill="203764"/>
            <w:vAlign w:val="center"/>
            <w:hideMark/>
          </w:tcPr>
          <w:p w14:paraId="3B92A6FF" w14:textId="77777777" w:rsidR="00A62D36" w:rsidRPr="00C85C74" w:rsidRDefault="00A62D36" w:rsidP="00C921DB">
            <w:pPr>
              <w:spacing w:after="0" w:line="240" w:lineRule="auto"/>
              <w:jc w:val="center"/>
              <w:rPr>
                <w:rFonts w:ascii="Calibri" w:eastAsia="Times New Roman" w:hAnsi="Calibri" w:cs="Calibri"/>
                <w:b/>
                <w:bCs/>
                <w:color w:val="FFFFFF"/>
                <w:sz w:val="20"/>
                <w:szCs w:val="20"/>
                <w:lang w:eastAsia="es-CR"/>
              </w:rPr>
            </w:pPr>
            <w:r w:rsidRPr="00C85C74">
              <w:rPr>
                <w:rFonts w:ascii="Calibri" w:eastAsia="Times New Roman" w:hAnsi="Calibri" w:cs="Calibri"/>
                <w:b/>
                <w:bCs/>
                <w:color w:val="FFFFFF"/>
                <w:sz w:val="20"/>
                <w:szCs w:val="20"/>
                <w:lang w:eastAsia="es-CR"/>
              </w:rPr>
              <w:t>CRONOGRAMA SP</w:t>
            </w:r>
          </w:p>
        </w:tc>
        <w:tc>
          <w:tcPr>
            <w:tcW w:w="1341" w:type="dxa"/>
            <w:tcBorders>
              <w:top w:val="nil"/>
              <w:left w:val="nil"/>
              <w:bottom w:val="nil"/>
              <w:right w:val="nil"/>
            </w:tcBorders>
            <w:shd w:val="clear" w:color="000000" w:fill="203764"/>
            <w:vAlign w:val="center"/>
            <w:hideMark/>
          </w:tcPr>
          <w:p w14:paraId="041D4E5F" w14:textId="77777777" w:rsidR="00A62D36" w:rsidRPr="00C85C74" w:rsidRDefault="00A62D36" w:rsidP="00C921DB">
            <w:pPr>
              <w:spacing w:after="0" w:line="240" w:lineRule="auto"/>
              <w:jc w:val="center"/>
              <w:rPr>
                <w:rFonts w:ascii="Calibri" w:eastAsia="Times New Roman" w:hAnsi="Calibri" w:cs="Calibri"/>
                <w:b/>
                <w:bCs/>
                <w:color w:val="FFFFFF"/>
                <w:sz w:val="20"/>
                <w:szCs w:val="20"/>
                <w:lang w:eastAsia="es-CR"/>
              </w:rPr>
            </w:pPr>
            <w:r w:rsidRPr="00C85C74">
              <w:rPr>
                <w:rFonts w:ascii="Calibri" w:eastAsia="Times New Roman" w:hAnsi="Calibri" w:cs="Calibri"/>
                <w:b/>
                <w:bCs/>
                <w:color w:val="FFFFFF"/>
                <w:sz w:val="20"/>
                <w:szCs w:val="20"/>
                <w:lang w:eastAsia="es-CR"/>
              </w:rPr>
              <w:t>LISTA DE VERIFICACIÓN</w:t>
            </w:r>
          </w:p>
        </w:tc>
      </w:tr>
      <w:tr w:rsidR="00A62D36" w:rsidRPr="00C85C74" w14:paraId="66BADD8A" w14:textId="77777777" w:rsidTr="00C921DB">
        <w:trPr>
          <w:trHeight w:val="330"/>
          <w:jc w:val="cent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DE2D"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2020CD-000010-0009100001</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E06088A"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9506" behindDoc="0" locked="0" layoutInCell="1" allowOverlap="1" wp14:anchorId="0B72A1BE" wp14:editId="47B3B843">
                  <wp:simplePos x="0" y="0"/>
                  <wp:positionH relativeFrom="column">
                    <wp:posOffset>466725</wp:posOffset>
                  </wp:positionH>
                  <wp:positionV relativeFrom="paragraph">
                    <wp:posOffset>-31115</wp:posOffset>
                  </wp:positionV>
                  <wp:extent cx="82550" cy="171450"/>
                  <wp:effectExtent l="0" t="0" r="0" b="0"/>
                  <wp:wrapNone/>
                  <wp:docPr id="35" name="Gráfico 35"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388265B5"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1314" behindDoc="0" locked="0" layoutInCell="1" allowOverlap="1" wp14:anchorId="54B0ABB2" wp14:editId="18B79ED6">
                  <wp:simplePos x="0" y="0"/>
                  <wp:positionH relativeFrom="column">
                    <wp:posOffset>369570</wp:posOffset>
                  </wp:positionH>
                  <wp:positionV relativeFrom="paragraph">
                    <wp:posOffset>5080</wp:posOffset>
                  </wp:positionV>
                  <wp:extent cx="82550" cy="171450"/>
                  <wp:effectExtent l="0" t="0" r="0" b="0"/>
                  <wp:wrapNone/>
                  <wp:docPr id="25" name="Gráfico 25"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D84B258"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2338" behindDoc="0" locked="0" layoutInCell="1" allowOverlap="1" wp14:anchorId="5755430B" wp14:editId="7CF9EBE3">
                  <wp:simplePos x="0" y="0"/>
                  <wp:positionH relativeFrom="column">
                    <wp:posOffset>356870</wp:posOffset>
                  </wp:positionH>
                  <wp:positionV relativeFrom="paragraph">
                    <wp:posOffset>20320</wp:posOffset>
                  </wp:positionV>
                  <wp:extent cx="82550" cy="171450"/>
                  <wp:effectExtent l="0" t="0" r="0" b="0"/>
                  <wp:wrapNone/>
                  <wp:docPr id="26" name="Gráfico 26"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r>
      <w:tr w:rsidR="00A62D36" w:rsidRPr="00C85C74" w14:paraId="6074E266" w14:textId="77777777" w:rsidTr="00C921DB">
        <w:trPr>
          <w:trHeight w:val="330"/>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29D1F5D7"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2020CD-000014-0009100001</w:t>
            </w:r>
          </w:p>
        </w:tc>
        <w:tc>
          <w:tcPr>
            <w:tcW w:w="1457" w:type="dxa"/>
            <w:tcBorders>
              <w:top w:val="nil"/>
              <w:left w:val="nil"/>
              <w:bottom w:val="single" w:sz="4" w:space="0" w:color="auto"/>
              <w:right w:val="single" w:sz="4" w:space="0" w:color="auto"/>
            </w:tcBorders>
            <w:shd w:val="clear" w:color="auto" w:fill="auto"/>
            <w:noWrap/>
            <w:vAlign w:val="center"/>
            <w:hideMark/>
          </w:tcPr>
          <w:p w14:paraId="76D0F27F"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Pr>
                <w:rFonts w:ascii="Calibri" w:eastAsia="Times New Roman" w:hAnsi="Calibri" w:cs="Calibri"/>
                <w:color w:val="000000"/>
                <w:sz w:val="20"/>
                <w:szCs w:val="20"/>
                <w:lang w:eastAsia="es-CR"/>
              </w:rPr>
              <w:t xml:space="preserve">    </w:t>
            </w:r>
            <w:r w:rsidRPr="00C85C74">
              <w:rPr>
                <w:rFonts w:ascii="Calibri" w:eastAsia="Times New Roman" w:hAnsi="Calibri" w:cs="Calibri"/>
                <w:color w:val="000000"/>
                <w:sz w:val="20"/>
                <w:szCs w:val="20"/>
                <w:lang w:eastAsia="es-CR"/>
              </w:rPr>
              <w:t>−</w:t>
            </w:r>
          </w:p>
        </w:tc>
        <w:tc>
          <w:tcPr>
            <w:tcW w:w="1391" w:type="dxa"/>
            <w:tcBorders>
              <w:top w:val="nil"/>
              <w:left w:val="nil"/>
              <w:bottom w:val="single" w:sz="4" w:space="0" w:color="auto"/>
              <w:right w:val="single" w:sz="4" w:space="0" w:color="auto"/>
            </w:tcBorders>
            <w:shd w:val="clear" w:color="auto" w:fill="auto"/>
            <w:noWrap/>
            <w:vAlign w:val="center"/>
            <w:hideMark/>
          </w:tcPr>
          <w:p w14:paraId="48F3F795"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c>
          <w:tcPr>
            <w:tcW w:w="1341" w:type="dxa"/>
            <w:tcBorders>
              <w:top w:val="nil"/>
              <w:left w:val="nil"/>
              <w:bottom w:val="single" w:sz="4" w:space="0" w:color="auto"/>
              <w:right w:val="single" w:sz="4" w:space="0" w:color="auto"/>
            </w:tcBorders>
            <w:shd w:val="clear" w:color="auto" w:fill="auto"/>
            <w:noWrap/>
            <w:vAlign w:val="center"/>
            <w:hideMark/>
          </w:tcPr>
          <w:p w14:paraId="526DFC4C"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r>
      <w:tr w:rsidR="00A62D36" w:rsidRPr="00C85C74" w14:paraId="1626C419" w14:textId="77777777" w:rsidTr="00C921DB">
        <w:trPr>
          <w:trHeight w:val="330"/>
          <w:jc w:val="cent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4761"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2020CD-000036-0009100001</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47A55CC2"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70530" behindDoc="0" locked="0" layoutInCell="1" allowOverlap="1" wp14:anchorId="1ADB5D13" wp14:editId="6C8E743F">
                  <wp:simplePos x="0" y="0"/>
                  <wp:positionH relativeFrom="column">
                    <wp:posOffset>473075</wp:posOffset>
                  </wp:positionH>
                  <wp:positionV relativeFrom="paragraph">
                    <wp:posOffset>-63500</wp:posOffset>
                  </wp:positionV>
                  <wp:extent cx="82550" cy="171450"/>
                  <wp:effectExtent l="0" t="0" r="0" b="0"/>
                  <wp:wrapNone/>
                  <wp:docPr id="36" name="Gráfico 36"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2DE45685"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3362" behindDoc="0" locked="0" layoutInCell="1" allowOverlap="1" wp14:anchorId="300E86A1" wp14:editId="384F9E23">
                  <wp:simplePos x="0" y="0"/>
                  <wp:positionH relativeFrom="column">
                    <wp:posOffset>356235</wp:posOffset>
                  </wp:positionH>
                  <wp:positionV relativeFrom="paragraph">
                    <wp:posOffset>-63500</wp:posOffset>
                  </wp:positionV>
                  <wp:extent cx="82550" cy="171450"/>
                  <wp:effectExtent l="0" t="0" r="0" b="0"/>
                  <wp:wrapNone/>
                  <wp:docPr id="27" name="Gráfico 27"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BD7F034"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76674" behindDoc="0" locked="0" layoutInCell="1" allowOverlap="1" wp14:anchorId="617281C6" wp14:editId="00E979B3">
                  <wp:simplePos x="0" y="0"/>
                  <wp:positionH relativeFrom="column">
                    <wp:posOffset>342900</wp:posOffset>
                  </wp:positionH>
                  <wp:positionV relativeFrom="paragraph">
                    <wp:posOffset>57150</wp:posOffset>
                  </wp:positionV>
                  <wp:extent cx="82550" cy="171450"/>
                  <wp:effectExtent l="0" t="0" r="0" b="0"/>
                  <wp:wrapNone/>
                  <wp:docPr id="21" name="Gráfico 21"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r>
      <w:tr w:rsidR="00A62D36" w:rsidRPr="00C85C74" w14:paraId="2CF434E6" w14:textId="77777777" w:rsidTr="00C921DB">
        <w:trPr>
          <w:trHeight w:val="330"/>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683DB850"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2020CD-000044-0009100001</w:t>
            </w:r>
          </w:p>
        </w:tc>
        <w:tc>
          <w:tcPr>
            <w:tcW w:w="1457" w:type="dxa"/>
            <w:tcBorders>
              <w:top w:val="nil"/>
              <w:left w:val="nil"/>
              <w:bottom w:val="single" w:sz="4" w:space="0" w:color="auto"/>
              <w:right w:val="single" w:sz="4" w:space="0" w:color="auto"/>
            </w:tcBorders>
            <w:shd w:val="clear" w:color="auto" w:fill="auto"/>
            <w:noWrap/>
            <w:vAlign w:val="center"/>
            <w:hideMark/>
          </w:tcPr>
          <w:p w14:paraId="22D4CEF9"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71554" behindDoc="0" locked="0" layoutInCell="1" allowOverlap="1" wp14:anchorId="17EE89AB" wp14:editId="35241D18">
                  <wp:simplePos x="0" y="0"/>
                  <wp:positionH relativeFrom="column">
                    <wp:posOffset>447040</wp:posOffset>
                  </wp:positionH>
                  <wp:positionV relativeFrom="paragraph">
                    <wp:posOffset>0</wp:posOffset>
                  </wp:positionV>
                  <wp:extent cx="82550" cy="171450"/>
                  <wp:effectExtent l="0" t="0" r="0" b="0"/>
                  <wp:wrapNone/>
                  <wp:docPr id="37" name="Gráfico 37"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91" w:type="dxa"/>
            <w:tcBorders>
              <w:top w:val="nil"/>
              <w:left w:val="nil"/>
              <w:bottom w:val="single" w:sz="4" w:space="0" w:color="auto"/>
              <w:right w:val="single" w:sz="4" w:space="0" w:color="auto"/>
            </w:tcBorders>
            <w:shd w:val="clear" w:color="auto" w:fill="auto"/>
            <w:noWrap/>
            <w:vAlign w:val="center"/>
            <w:hideMark/>
          </w:tcPr>
          <w:p w14:paraId="5914EE3D"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c>
          <w:tcPr>
            <w:tcW w:w="1341" w:type="dxa"/>
            <w:tcBorders>
              <w:top w:val="nil"/>
              <w:left w:val="nil"/>
              <w:bottom w:val="single" w:sz="4" w:space="0" w:color="auto"/>
              <w:right w:val="single" w:sz="4" w:space="0" w:color="auto"/>
            </w:tcBorders>
            <w:shd w:val="clear" w:color="auto" w:fill="auto"/>
            <w:noWrap/>
            <w:vAlign w:val="center"/>
            <w:hideMark/>
          </w:tcPr>
          <w:p w14:paraId="13047474"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77698" behindDoc="0" locked="0" layoutInCell="1" allowOverlap="1" wp14:anchorId="457CFAFF" wp14:editId="66B5DF97">
                  <wp:simplePos x="0" y="0"/>
                  <wp:positionH relativeFrom="column">
                    <wp:posOffset>335915</wp:posOffset>
                  </wp:positionH>
                  <wp:positionV relativeFrom="paragraph">
                    <wp:posOffset>43815</wp:posOffset>
                  </wp:positionV>
                  <wp:extent cx="82550" cy="171450"/>
                  <wp:effectExtent l="0" t="0" r="0" b="0"/>
                  <wp:wrapNone/>
                  <wp:docPr id="22" name="Gráfico 22"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r>
      <w:tr w:rsidR="00A62D36" w:rsidRPr="00C85C74" w14:paraId="4BFEDD2C" w14:textId="77777777" w:rsidTr="00C921DB">
        <w:trPr>
          <w:trHeight w:val="330"/>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2F9E1C38"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2020CD-000045-0009100001</w:t>
            </w:r>
          </w:p>
        </w:tc>
        <w:tc>
          <w:tcPr>
            <w:tcW w:w="1457" w:type="dxa"/>
            <w:tcBorders>
              <w:top w:val="nil"/>
              <w:left w:val="nil"/>
              <w:bottom w:val="nil"/>
              <w:right w:val="nil"/>
            </w:tcBorders>
            <w:shd w:val="clear" w:color="auto" w:fill="auto"/>
            <w:noWrap/>
            <w:vAlign w:val="bottom"/>
            <w:hideMark/>
          </w:tcPr>
          <w:p w14:paraId="5FAD60D1"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Pr>
                <w:rFonts w:ascii="Calibri" w:eastAsia="Times New Roman" w:hAnsi="Calibri" w:cs="Calibri"/>
                <w:color w:val="000000"/>
                <w:sz w:val="20"/>
                <w:szCs w:val="20"/>
                <w:lang w:eastAsia="es-CR"/>
              </w:rPr>
              <w:t xml:space="preserve">                </w:t>
            </w:r>
            <w:r w:rsidRPr="00C85C74">
              <w:rPr>
                <w:rFonts w:ascii="Calibri" w:eastAsia="Times New Roman" w:hAnsi="Calibri" w:cs="Calibri"/>
                <w:color w:val="000000"/>
                <w:sz w:val="20"/>
                <w:szCs w:val="20"/>
                <w:lang w:eastAsia="es-CR"/>
              </w:rPr>
              <w:t>−</w:t>
            </w:r>
          </w:p>
        </w:tc>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19680EEA"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c>
          <w:tcPr>
            <w:tcW w:w="1341" w:type="dxa"/>
            <w:tcBorders>
              <w:top w:val="nil"/>
              <w:left w:val="nil"/>
              <w:bottom w:val="single" w:sz="4" w:space="0" w:color="auto"/>
              <w:right w:val="single" w:sz="4" w:space="0" w:color="auto"/>
            </w:tcBorders>
            <w:shd w:val="clear" w:color="auto" w:fill="auto"/>
            <w:noWrap/>
            <w:vAlign w:val="center"/>
            <w:hideMark/>
          </w:tcPr>
          <w:p w14:paraId="4810EA71"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r>
      <w:tr w:rsidR="00A62D36" w:rsidRPr="00C85C74" w14:paraId="21ACFF55" w14:textId="77777777" w:rsidTr="00C921DB">
        <w:trPr>
          <w:trHeight w:val="330"/>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0B77BEF3"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2020LA-000003-0009100001</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0BE51B37"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Pr>
                <w:rFonts w:ascii="Calibri" w:eastAsia="Times New Roman" w:hAnsi="Calibri" w:cs="Calibri"/>
                <w:color w:val="000000"/>
                <w:sz w:val="20"/>
                <w:szCs w:val="20"/>
                <w:lang w:eastAsia="es-CR"/>
              </w:rPr>
              <w:t xml:space="preserve">   </w:t>
            </w:r>
            <w:r w:rsidRPr="00C85C74">
              <w:rPr>
                <w:rFonts w:ascii="Calibri" w:eastAsia="Times New Roman" w:hAnsi="Calibri" w:cs="Calibri"/>
                <w:color w:val="000000"/>
                <w:sz w:val="20"/>
                <w:szCs w:val="20"/>
                <w:lang w:eastAsia="es-CR"/>
              </w:rPr>
              <w:t>X</w:t>
            </w:r>
          </w:p>
        </w:tc>
        <w:tc>
          <w:tcPr>
            <w:tcW w:w="1391" w:type="dxa"/>
            <w:tcBorders>
              <w:top w:val="nil"/>
              <w:left w:val="nil"/>
              <w:bottom w:val="single" w:sz="4" w:space="0" w:color="auto"/>
              <w:right w:val="single" w:sz="4" w:space="0" w:color="auto"/>
            </w:tcBorders>
            <w:shd w:val="clear" w:color="auto" w:fill="auto"/>
            <w:noWrap/>
            <w:vAlign w:val="center"/>
            <w:hideMark/>
          </w:tcPr>
          <w:p w14:paraId="6F51C387"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c>
          <w:tcPr>
            <w:tcW w:w="1341" w:type="dxa"/>
            <w:tcBorders>
              <w:top w:val="nil"/>
              <w:left w:val="nil"/>
              <w:bottom w:val="single" w:sz="4" w:space="0" w:color="auto"/>
              <w:right w:val="single" w:sz="4" w:space="0" w:color="auto"/>
            </w:tcBorders>
            <w:shd w:val="clear" w:color="auto" w:fill="auto"/>
            <w:noWrap/>
            <w:vAlign w:val="center"/>
            <w:hideMark/>
          </w:tcPr>
          <w:p w14:paraId="2EC6F4E0"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r>
      <w:tr w:rsidR="00A62D36" w:rsidRPr="00C85C74" w14:paraId="7B7206C1" w14:textId="77777777" w:rsidTr="00C921DB">
        <w:trPr>
          <w:trHeight w:val="330"/>
          <w:jc w:val="cent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C1E13"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2020LA-000005-0009100001</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5AA693D"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Pr>
                <w:rFonts w:ascii="Calibri" w:eastAsia="Times New Roman" w:hAnsi="Calibri" w:cs="Calibri"/>
                <w:color w:val="000000"/>
                <w:sz w:val="20"/>
                <w:szCs w:val="20"/>
                <w:lang w:eastAsia="es-CR"/>
              </w:rPr>
              <w:t xml:space="preserve">    </w:t>
            </w:r>
            <w:r w:rsidRPr="00C85C74">
              <w:rPr>
                <w:rFonts w:ascii="Calibri" w:eastAsia="Times New Roman" w:hAnsi="Calibri" w:cs="Calibri"/>
                <w:color w:val="000000"/>
                <w:sz w:val="20"/>
                <w:szCs w:val="20"/>
                <w:lang w:eastAsia="es-CR"/>
              </w:rPr>
              <w:t>−</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159414B1"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6CEA815F"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r>
      <w:tr w:rsidR="00A62D36" w:rsidRPr="00C85C74" w14:paraId="65C00708" w14:textId="77777777" w:rsidTr="00C921DB">
        <w:trPr>
          <w:trHeight w:val="330"/>
          <w:jc w:val="cent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1405"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2020LN-000005-0009100001</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465EF209"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72578" behindDoc="0" locked="0" layoutInCell="1" allowOverlap="1" wp14:anchorId="6A4F8902" wp14:editId="0847F3D0">
                  <wp:simplePos x="0" y="0"/>
                  <wp:positionH relativeFrom="column">
                    <wp:posOffset>447675</wp:posOffset>
                  </wp:positionH>
                  <wp:positionV relativeFrom="paragraph">
                    <wp:posOffset>-27305</wp:posOffset>
                  </wp:positionV>
                  <wp:extent cx="82550" cy="171450"/>
                  <wp:effectExtent l="0" t="0" r="0" b="0"/>
                  <wp:wrapNone/>
                  <wp:docPr id="38" name="Gráfico 38"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43782487"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0290" behindDoc="0" locked="0" layoutInCell="1" allowOverlap="1" wp14:anchorId="4B611D1F" wp14:editId="67A70EB1">
                  <wp:simplePos x="0" y="0"/>
                  <wp:positionH relativeFrom="column">
                    <wp:posOffset>385445</wp:posOffset>
                  </wp:positionH>
                  <wp:positionV relativeFrom="paragraph">
                    <wp:posOffset>16510</wp:posOffset>
                  </wp:positionV>
                  <wp:extent cx="82550" cy="171450"/>
                  <wp:effectExtent l="0" t="0" r="0" b="0"/>
                  <wp:wrapNone/>
                  <wp:docPr id="18" name="Gráfico 18"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31E200A"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4386" behindDoc="0" locked="0" layoutInCell="1" allowOverlap="1" wp14:anchorId="0EEB93BD" wp14:editId="7E8F81AA">
                  <wp:simplePos x="0" y="0"/>
                  <wp:positionH relativeFrom="column">
                    <wp:posOffset>332740</wp:posOffset>
                  </wp:positionH>
                  <wp:positionV relativeFrom="paragraph">
                    <wp:posOffset>-62865</wp:posOffset>
                  </wp:positionV>
                  <wp:extent cx="82550" cy="171450"/>
                  <wp:effectExtent l="0" t="0" r="0" b="0"/>
                  <wp:wrapNone/>
                  <wp:docPr id="29" name="Gráfico 29"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r>
      <w:tr w:rsidR="00A62D36" w:rsidRPr="00C85C74" w14:paraId="04D8F40A" w14:textId="77777777" w:rsidTr="00C921DB">
        <w:trPr>
          <w:trHeight w:val="330"/>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12DAB139"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2021CD-000009-0009100001</w:t>
            </w:r>
          </w:p>
        </w:tc>
        <w:tc>
          <w:tcPr>
            <w:tcW w:w="1457" w:type="dxa"/>
            <w:tcBorders>
              <w:top w:val="nil"/>
              <w:left w:val="nil"/>
              <w:bottom w:val="single" w:sz="4" w:space="0" w:color="auto"/>
              <w:right w:val="single" w:sz="4" w:space="0" w:color="auto"/>
            </w:tcBorders>
            <w:shd w:val="clear" w:color="auto" w:fill="auto"/>
            <w:noWrap/>
            <w:vAlign w:val="center"/>
            <w:hideMark/>
          </w:tcPr>
          <w:p w14:paraId="6ACDA016"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73602" behindDoc="0" locked="0" layoutInCell="1" allowOverlap="1" wp14:anchorId="626E45F3" wp14:editId="3B7E6A66">
                  <wp:simplePos x="0" y="0"/>
                  <wp:positionH relativeFrom="column">
                    <wp:posOffset>446405</wp:posOffset>
                  </wp:positionH>
                  <wp:positionV relativeFrom="paragraph">
                    <wp:posOffset>-40005</wp:posOffset>
                  </wp:positionV>
                  <wp:extent cx="82550" cy="171450"/>
                  <wp:effectExtent l="0" t="0" r="0" b="0"/>
                  <wp:wrapNone/>
                  <wp:docPr id="39" name="Gráfico 39"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91" w:type="dxa"/>
            <w:tcBorders>
              <w:top w:val="nil"/>
              <w:left w:val="nil"/>
              <w:bottom w:val="single" w:sz="4" w:space="0" w:color="auto"/>
              <w:right w:val="single" w:sz="4" w:space="0" w:color="auto"/>
            </w:tcBorders>
            <w:shd w:val="clear" w:color="auto" w:fill="auto"/>
            <w:noWrap/>
            <w:vAlign w:val="center"/>
            <w:hideMark/>
          </w:tcPr>
          <w:p w14:paraId="6D8357A9"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c>
          <w:tcPr>
            <w:tcW w:w="1341" w:type="dxa"/>
            <w:tcBorders>
              <w:top w:val="nil"/>
              <w:left w:val="nil"/>
              <w:bottom w:val="single" w:sz="4" w:space="0" w:color="auto"/>
              <w:right w:val="single" w:sz="4" w:space="0" w:color="auto"/>
            </w:tcBorders>
            <w:shd w:val="clear" w:color="auto" w:fill="auto"/>
            <w:noWrap/>
            <w:vAlign w:val="center"/>
            <w:hideMark/>
          </w:tcPr>
          <w:p w14:paraId="62C6EF58"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5410" behindDoc="0" locked="0" layoutInCell="1" allowOverlap="1" wp14:anchorId="7BC48CD7" wp14:editId="3E5C0061">
                  <wp:simplePos x="0" y="0"/>
                  <wp:positionH relativeFrom="column">
                    <wp:posOffset>331470</wp:posOffset>
                  </wp:positionH>
                  <wp:positionV relativeFrom="paragraph">
                    <wp:posOffset>-10795</wp:posOffset>
                  </wp:positionV>
                  <wp:extent cx="82550" cy="171450"/>
                  <wp:effectExtent l="0" t="0" r="0" b="0"/>
                  <wp:wrapNone/>
                  <wp:docPr id="30" name="Gráfico 30"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r>
      <w:tr w:rsidR="00A62D36" w:rsidRPr="00C85C74" w14:paraId="6BCF69A3" w14:textId="77777777" w:rsidTr="00C921DB">
        <w:trPr>
          <w:trHeight w:val="330"/>
          <w:jc w:val="center"/>
        </w:trPr>
        <w:tc>
          <w:tcPr>
            <w:tcW w:w="2766" w:type="dxa"/>
            <w:tcBorders>
              <w:top w:val="nil"/>
              <w:left w:val="single" w:sz="4" w:space="0" w:color="auto"/>
              <w:bottom w:val="single" w:sz="4" w:space="0" w:color="auto"/>
              <w:right w:val="single" w:sz="4" w:space="0" w:color="auto"/>
            </w:tcBorders>
            <w:shd w:val="clear" w:color="auto" w:fill="auto"/>
            <w:vAlign w:val="center"/>
            <w:hideMark/>
          </w:tcPr>
          <w:p w14:paraId="1216DAC8"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2021CD-000014-0009100001</w:t>
            </w:r>
          </w:p>
        </w:tc>
        <w:tc>
          <w:tcPr>
            <w:tcW w:w="1457" w:type="dxa"/>
            <w:tcBorders>
              <w:top w:val="nil"/>
              <w:left w:val="nil"/>
              <w:bottom w:val="single" w:sz="4" w:space="0" w:color="auto"/>
              <w:right w:val="single" w:sz="4" w:space="0" w:color="auto"/>
            </w:tcBorders>
            <w:shd w:val="clear" w:color="auto" w:fill="auto"/>
            <w:noWrap/>
            <w:vAlign w:val="center"/>
            <w:hideMark/>
          </w:tcPr>
          <w:p w14:paraId="11D3F883"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75650" behindDoc="0" locked="0" layoutInCell="1" allowOverlap="1" wp14:anchorId="6A874ED8" wp14:editId="63E8AADB">
                  <wp:simplePos x="0" y="0"/>
                  <wp:positionH relativeFrom="column">
                    <wp:posOffset>436245</wp:posOffset>
                  </wp:positionH>
                  <wp:positionV relativeFrom="paragraph">
                    <wp:posOffset>34925</wp:posOffset>
                  </wp:positionV>
                  <wp:extent cx="82550" cy="171450"/>
                  <wp:effectExtent l="0" t="0" r="0" b="0"/>
                  <wp:wrapNone/>
                  <wp:docPr id="41" name="Gráfico 41"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91" w:type="dxa"/>
            <w:tcBorders>
              <w:top w:val="nil"/>
              <w:left w:val="nil"/>
              <w:bottom w:val="single" w:sz="4" w:space="0" w:color="auto"/>
              <w:right w:val="single" w:sz="4" w:space="0" w:color="auto"/>
            </w:tcBorders>
            <w:shd w:val="clear" w:color="auto" w:fill="auto"/>
            <w:noWrap/>
            <w:vAlign w:val="center"/>
            <w:hideMark/>
          </w:tcPr>
          <w:p w14:paraId="0BF16281"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c>
          <w:tcPr>
            <w:tcW w:w="1341" w:type="dxa"/>
            <w:tcBorders>
              <w:top w:val="nil"/>
              <w:left w:val="nil"/>
              <w:bottom w:val="single" w:sz="4" w:space="0" w:color="auto"/>
              <w:right w:val="single" w:sz="4" w:space="0" w:color="auto"/>
            </w:tcBorders>
            <w:shd w:val="clear" w:color="auto" w:fill="auto"/>
            <w:noWrap/>
            <w:vAlign w:val="center"/>
            <w:hideMark/>
          </w:tcPr>
          <w:p w14:paraId="465CA915"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6434" behindDoc="0" locked="0" layoutInCell="1" allowOverlap="1" wp14:anchorId="6FEF6D18" wp14:editId="4F39343E">
                  <wp:simplePos x="0" y="0"/>
                  <wp:positionH relativeFrom="column">
                    <wp:posOffset>345440</wp:posOffset>
                  </wp:positionH>
                  <wp:positionV relativeFrom="paragraph">
                    <wp:posOffset>13970</wp:posOffset>
                  </wp:positionV>
                  <wp:extent cx="82550" cy="171450"/>
                  <wp:effectExtent l="0" t="0" r="0" b="0"/>
                  <wp:wrapNone/>
                  <wp:docPr id="31" name="Gráfico 31"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r>
      <w:tr w:rsidR="00A62D36" w:rsidRPr="00C85C74" w14:paraId="429070D9" w14:textId="77777777" w:rsidTr="00C921DB">
        <w:trPr>
          <w:trHeight w:val="330"/>
          <w:jc w:val="cent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7858"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2021CD-000050-0009100001</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1F5991A0"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74626" behindDoc="0" locked="0" layoutInCell="1" allowOverlap="1" wp14:anchorId="6096188C" wp14:editId="79388D85">
                  <wp:simplePos x="0" y="0"/>
                  <wp:positionH relativeFrom="column">
                    <wp:posOffset>440690</wp:posOffset>
                  </wp:positionH>
                  <wp:positionV relativeFrom="paragraph">
                    <wp:posOffset>-13970</wp:posOffset>
                  </wp:positionV>
                  <wp:extent cx="82550" cy="171450"/>
                  <wp:effectExtent l="0" t="0" r="0" b="0"/>
                  <wp:wrapNone/>
                  <wp:docPr id="40" name="Gráfico 40"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4A346FCE"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8482" behindDoc="0" locked="0" layoutInCell="1" allowOverlap="1" wp14:anchorId="099A1F48" wp14:editId="78AEB949">
                  <wp:simplePos x="0" y="0"/>
                  <wp:positionH relativeFrom="column">
                    <wp:posOffset>336550</wp:posOffset>
                  </wp:positionH>
                  <wp:positionV relativeFrom="paragraph">
                    <wp:posOffset>28575</wp:posOffset>
                  </wp:positionV>
                  <wp:extent cx="82550" cy="171450"/>
                  <wp:effectExtent l="0" t="0" r="0" b="0"/>
                  <wp:wrapNone/>
                  <wp:docPr id="33" name="Gráfico 33"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8B21304"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noProof/>
                <w:color w:val="000000"/>
                <w:sz w:val="20"/>
                <w:szCs w:val="20"/>
                <w:lang w:eastAsia="es-CR"/>
              </w:rPr>
              <w:drawing>
                <wp:anchor distT="0" distB="0" distL="114300" distR="114300" simplePos="0" relativeHeight="251667458" behindDoc="0" locked="0" layoutInCell="1" allowOverlap="1" wp14:anchorId="62072532" wp14:editId="472ADCC9">
                  <wp:simplePos x="0" y="0"/>
                  <wp:positionH relativeFrom="column">
                    <wp:posOffset>346075</wp:posOffset>
                  </wp:positionH>
                  <wp:positionV relativeFrom="paragraph">
                    <wp:posOffset>-22225</wp:posOffset>
                  </wp:positionV>
                  <wp:extent cx="82550" cy="171450"/>
                  <wp:effectExtent l="0" t="0" r="0" b="0"/>
                  <wp:wrapNone/>
                  <wp:docPr id="32" name="Gráfico 32" descr="Marca de verificación">
                    <a:extLst xmlns:a="http://schemas.openxmlformats.org/drawingml/2006/main">
                      <a:ext uri="{FF2B5EF4-FFF2-40B4-BE49-F238E27FC236}">
                        <a16:creationId xmlns:a16="http://schemas.microsoft.com/office/drawing/2014/main" id="{CB5F9C9A-B38F-415D-9D75-C5F03823AAD1}"/>
                      </a:ext>
                    </a:extLst>
                  </wp:docPr>
                  <wp:cNvGraphicFramePr/>
                  <a:graphic xmlns:a="http://schemas.openxmlformats.org/drawingml/2006/main">
                    <a:graphicData uri="http://schemas.openxmlformats.org/drawingml/2006/picture">
                      <pic:pic xmlns:pic="http://schemas.openxmlformats.org/drawingml/2006/picture">
                        <pic:nvPicPr>
                          <pic:cNvPr id="18" name="Gráfico 17" descr="Marca de verificación">
                            <a:extLst>
                              <a:ext uri="{FF2B5EF4-FFF2-40B4-BE49-F238E27FC236}">
                                <a16:creationId xmlns:a16="http://schemas.microsoft.com/office/drawing/2014/main" id="{CB5F9C9A-B38F-415D-9D75-C5F03823AAD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550" cy="171450"/>
                          </a:xfrm>
                          <a:prstGeom prst="rect">
                            <a:avLst/>
                          </a:prstGeom>
                        </pic:spPr>
                      </pic:pic>
                    </a:graphicData>
                  </a:graphic>
                  <wp14:sizeRelH relativeFrom="page">
                    <wp14:pctWidth>0</wp14:pctWidth>
                  </wp14:sizeRelH>
                  <wp14:sizeRelV relativeFrom="page">
                    <wp14:pctHeight>0</wp14:pctHeight>
                  </wp14:sizeRelV>
                </wp:anchor>
              </w:drawing>
            </w:r>
          </w:p>
        </w:tc>
      </w:tr>
      <w:tr w:rsidR="00A62D36" w:rsidRPr="00C85C74" w14:paraId="09854B48" w14:textId="77777777" w:rsidTr="00C921DB">
        <w:trPr>
          <w:trHeight w:val="330"/>
          <w:jc w:val="center"/>
        </w:trPr>
        <w:tc>
          <w:tcPr>
            <w:tcW w:w="2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5F9FE" w14:textId="77777777" w:rsidR="00A62D36" w:rsidRPr="00C85C74" w:rsidRDefault="00A62D36" w:rsidP="00C921DB">
            <w:pPr>
              <w:spacing w:after="0" w:line="240" w:lineRule="auto"/>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2021LA-000003-0009100001</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299451DA"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Pr>
                <w:rFonts w:ascii="Calibri" w:eastAsia="Times New Roman" w:hAnsi="Calibri" w:cs="Calibri"/>
                <w:color w:val="000000"/>
                <w:sz w:val="20"/>
                <w:szCs w:val="20"/>
                <w:lang w:eastAsia="es-CR"/>
              </w:rPr>
              <w:t xml:space="preserve">   </w:t>
            </w:r>
            <w:r w:rsidRPr="00C85C74">
              <w:rPr>
                <w:rFonts w:ascii="Calibri" w:eastAsia="Times New Roman" w:hAnsi="Calibri" w:cs="Calibri"/>
                <w:color w:val="000000"/>
                <w:sz w:val="20"/>
                <w:szCs w:val="20"/>
                <w:lang w:eastAsia="es-CR"/>
              </w:rPr>
              <w:t>X</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3A14E419"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E7F6CFF" w14:textId="77777777" w:rsidR="00A62D36" w:rsidRPr="00C85C74" w:rsidRDefault="00A62D36" w:rsidP="00C921DB">
            <w:pPr>
              <w:spacing w:after="0" w:line="240" w:lineRule="auto"/>
              <w:jc w:val="center"/>
              <w:rPr>
                <w:rFonts w:ascii="Calibri" w:eastAsia="Times New Roman" w:hAnsi="Calibri" w:cs="Calibri"/>
                <w:color w:val="000000"/>
                <w:sz w:val="20"/>
                <w:szCs w:val="20"/>
                <w:lang w:eastAsia="es-CR"/>
              </w:rPr>
            </w:pPr>
            <w:r w:rsidRPr="00C85C74">
              <w:rPr>
                <w:rFonts w:ascii="Calibri" w:eastAsia="Times New Roman" w:hAnsi="Calibri" w:cs="Calibri"/>
                <w:color w:val="000000"/>
                <w:sz w:val="20"/>
                <w:szCs w:val="20"/>
                <w:lang w:eastAsia="es-CR"/>
              </w:rPr>
              <w:t>X</w:t>
            </w:r>
          </w:p>
        </w:tc>
      </w:tr>
    </w:tbl>
    <w:p w14:paraId="59A5B80F" w14:textId="77777777" w:rsidR="00A62D36" w:rsidRDefault="00A62D36" w:rsidP="00A62D36">
      <w:pPr>
        <w:pStyle w:val="Textosinformato"/>
        <w:spacing w:line="276" w:lineRule="auto"/>
        <w:ind w:left="204"/>
        <w:jc w:val="both"/>
        <w:rPr>
          <w:rFonts w:ascii="Arial" w:eastAsia="Times New Roman" w:hAnsi="Arial" w:cs="Arial"/>
          <w:b/>
          <w:sz w:val="18"/>
          <w:szCs w:val="18"/>
          <w:lang w:val="es-ES_tradnl" w:eastAsia="es-CR"/>
        </w:rPr>
      </w:pPr>
    </w:p>
    <w:p w14:paraId="45930C6A" w14:textId="77777777" w:rsidR="00A62D36" w:rsidRPr="00BD1D22" w:rsidRDefault="00A62D36" w:rsidP="00A62D36">
      <w:pPr>
        <w:pStyle w:val="Textosinformato"/>
        <w:spacing w:line="276" w:lineRule="auto"/>
        <w:ind w:left="204"/>
        <w:jc w:val="both"/>
        <w:rPr>
          <w:rFonts w:ascii="Arial" w:hAnsi="Arial" w:cs="Arial"/>
          <w:sz w:val="18"/>
          <w:szCs w:val="18"/>
        </w:rPr>
      </w:pPr>
      <w:r w:rsidRPr="00955F74">
        <w:rPr>
          <w:rFonts w:ascii="Arial" w:eastAsia="Times New Roman" w:hAnsi="Arial" w:cs="Arial"/>
          <w:b/>
          <w:sz w:val="18"/>
          <w:szCs w:val="18"/>
          <w:lang w:val="es-ES_tradnl" w:eastAsia="es-CR"/>
        </w:rPr>
        <w:t xml:space="preserve">Fuente: </w:t>
      </w:r>
      <w:r w:rsidRPr="00955F74">
        <w:rPr>
          <w:rFonts w:ascii="Arial" w:eastAsia="Times New Roman" w:hAnsi="Arial" w:cs="Arial"/>
          <w:color w:val="000000"/>
          <w:sz w:val="18"/>
          <w:szCs w:val="18"/>
          <w:lang w:val="es-ES_tradnl" w:eastAsia="es-CR"/>
        </w:rPr>
        <w:t xml:space="preserve">Elaboración propia a partir de la información contenida en el Sistema Integrado de Compras Públicas </w:t>
      </w:r>
      <w:r>
        <w:rPr>
          <w:rFonts w:ascii="Arial" w:eastAsia="Times New Roman" w:hAnsi="Arial" w:cs="Arial"/>
          <w:color w:val="000000"/>
          <w:sz w:val="18"/>
          <w:szCs w:val="18"/>
          <w:lang w:val="es-ES_tradnl" w:eastAsia="es-CR"/>
        </w:rPr>
        <w:t>(</w:t>
      </w:r>
      <w:r w:rsidRPr="00955F74">
        <w:rPr>
          <w:rFonts w:ascii="Arial" w:eastAsia="Times New Roman" w:hAnsi="Arial" w:cs="Arial"/>
          <w:color w:val="000000"/>
          <w:sz w:val="18"/>
          <w:szCs w:val="18"/>
          <w:lang w:val="es-ES_tradnl" w:eastAsia="es-CR"/>
        </w:rPr>
        <w:t>SICOP)</w:t>
      </w:r>
      <w:r w:rsidRPr="00BD1D22">
        <w:rPr>
          <w:rFonts w:ascii="Arial" w:eastAsia="Times New Roman" w:hAnsi="Arial" w:cs="Arial"/>
          <w:color w:val="000000"/>
          <w:sz w:val="18"/>
          <w:szCs w:val="18"/>
          <w:lang w:val="es-ES_tradnl" w:eastAsia="es-CR"/>
        </w:rPr>
        <w:t>.</w:t>
      </w:r>
    </w:p>
    <w:p w14:paraId="355006BD" w14:textId="77777777" w:rsidR="00A62D36" w:rsidRDefault="00A62D36" w:rsidP="00F524F9">
      <w:pPr>
        <w:spacing w:after="0" w:line="240" w:lineRule="auto"/>
        <w:contextualSpacing/>
        <w:jc w:val="both"/>
        <w:rPr>
          <w:rFonts w:ascii="Arial" w:hAnsi="Arial" w:cs="Arial"/>
          <w:sz w:val="18"/>
          <w:szCs w:val="18"/>
        </w:rPr>
      </w:pPr>
    </w:p>
    <w:sectPr w:rsidR="00A62D36" w:rsidSect="008F5499">
      <w:headerReference w:type="default" r:id="rId17"/>
      <w:footerReference w:type="default" r:id="rId18"/>
      <w:pgSz w:w="12240" w:h="15840" w:code="1"/>
      <w:pgMar w:top="1888" w:right="1892" w:bottom="1134" w:left="1701" w:header="170" w:footer="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FF82D" w14:textId="77777777" w:rsidR="004D7C6C" w:rsidRDefault="004D7C6C" w:rsidP="00B17BEF">
      <w:pPr>
        <w:spacing w:after="0" w:line="240" w:lineRule="auto"/>
      </w:pPr>
      <w:r>
        <w:separator/>
      </w:r>
    </w:p>
  </w:endnote>
  <w:endnote w:type="continuationSeparator" w:id="0">
    <w:p w14:paraId="78908CE4" w14:textId="77777777" w:rsidR="004D7C6C" w:rsidRDefault="004D7C6C" w:rsidP="00B17BEF">
      <w:pPr>
        <w:spacing w:after="0" w:line="240" w:lineRule="auto"/>
      </w:pPr>
      <w:r>
        <w:continuationSeparator/>
      </w:r>
    </w:p>
  </w:endnote>
  <w:endnote w:type="continuationNotice" w:id="1">
    <w:p w14:paraId="20D17CE8" w14:textId="77777777" w:rsidR="004D7C6C" w:rsidRDefault="004D7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A7A8" w14:textId="77777777" w:rsidR="004D7C6C" w:rsidRPr="008E1113" w:rsidRDefault="004D7C6C" w:rsidP="00044177">
    <w:pPr>
      <w:spacing w:after="0" w:line="240" w:lineRule="auto"/>
      <w:jc w:val="center"/>
      <w:rPr>
        <w:rFonts w:ascii="Arial" w:hAnsi="Arial" w:cs="Arial"/>
        <w:sz w:val="16"/>
        <w:szCs w:val="16"/>
      </w:rPr>
    </w:pPr>
    <w:bookmarkStart w:id="103" w:name="_Hlk59531754"/>
    <w:bookmarkStart w:id="104" w:name="_Hlk59531755"/>
    <w:r w:rsidRPr="008E1113">
      <w:rPr>
        <w:rFonts w:ascii="Arial" w:hAnsi="Arial" w:cs="Arial"/>
        <w:noProof/>
        <w:sz w:val="16"/>
        <w:szCs w:val="16"/>
        <w:lang w:eastAsia="es-CR"/>
      </w:rPr>
      <w:t>Av. 2da, Calles 1 y 3, diagonal al Teatro Nacional, San José, Costa Rica</w:t>
    </w:r>
    <w:r w:rsidRPr="008E1113">
      <w:rPr>
        <w:rFonts w:ascii="Arial" w:hAnsi="Arial" w:cs="Arial"/>
        <w:sz w:val="16"/>
        <w:szCs w:val="16"/>
      </w:rPr>
      <w:t>.</w:t>
    </w:r>
  </w:p>
  <w:p w14:paraId="45F097B8" w14:textId="77777777" w:rsidR="004D7C6C" w:rsidRDefault="004D7C6C" w:rsidP="00643637">
    <w:pPr>
      <w:spacing w:after="0" w:line="240" w:lineRule="auto"/>
      <w:jc w:val="center"/>
      <w:rPr>
        <w:rStyle w:val="Hipervnculo"/>
        <w:rFonts w:ascii="Arial" w:hAnsi="Arial" w:cs="Arial"/>
        <w:sz w:val="16"/>
        <w:szCs w:val="16"/>
      </w:rPr>
    </w:pPr>
    <w:r w:rsidRPr="008E1113">
      <w:rPr>
        <w:rFonts w:ascii="Arial" w:hAnsi="Arial" w:cs="Arial"/>
        <w:sz w:val="16"/>
        <w:szCs w:val="16"/>
      </w:rPr>
      <w:t xml:space="preserve">Tel: (506)2539-6684 -  </w:t>
    </w:r>
    <w:hyperlink r:id="rId1" w:history="1">
      <w:r w:rsidRPr="008E1113">
        <w:rPr>
          <w:rStyle w:val="Hipervnculo"/>
          <w:rFonts w:ascii="Arial" w:hAnsi="Arial" w:cs="Arial"/>
          <w:sz w:val="16"/>
          <w:szCs w:val="16"/>
        </w:rPr>
        <w:t>www.hacienda.go.cr</w:t>
      </w:r>
    </w:hyperlink>
    <w:bookmarkEnd w:id="103"/>
    <w:bookmarkEnd w:id="10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A2FB" w14:textId="77777777" w:rsidR="004D7C6C" w:rsidRDefault="004D7C6C" w:rsidP="00B17BEF">
      <w:pPr>
        <w:spacing w:after="0" w:line="240" w:lineRule="auto"/>
      </w:pPr>
      <w:bookmarkStart w:id="0" w:name="_Hlk90325711"/>
      <w:bookmarkEnd w:id="0"/>
      <w:r>
        <w:separator/>
      </w:r>
    </w:p>
  </w:footnote>
  <w:footnote w:type="continuationSeparator" w:id="0">
    <w:p w14:paraId="30F92E1B" w14:textId="77777777" w:rsidR="004D7C6C" w:rsidRDefault="004D7C6C" w:rsidP="00B17BEF">
      <w:pPr>
        <w:spacing w:after="0" w:line="240" w:lineRule="auto"/>
      </w:pPr>
      <w:r>
        <w:continuationSeparator/>
      </w:r>
    </w:p>
  </w:footnote>
  <w:footnote w:type="continuationNotice" w:id="1">
    <w:p w14:paraId="2160823B" w14:textId="77777777" w:rsidR="004D7C6C" w:rsidRDefault="004D7C6C">
      <w:pPr>
        <w:spacing w:after="0" w:line="240" w:lineRule="auto"/>
      </w:pPr>
    </w:p>
  </w:footnote>
  <w:footnote w:id="2">
    <w:p w14:paraId="0E70D4A6" w14:textId="77777777" w:rsidR="004D7C6C" w:rsidRPr="005362CE" w:rsidRDefault="004D7C6C" w:rsidP="008E6988">
      <w:pPr>
        <w:pStyle w:val="Textonotapie"/>
        <w:rPr>
          <w:rFonts w:ascii="Arial" w:hAnsi="Arial" w:cs="Arial"/>
          <w:sz w:val="18"/>
          <w:szCs w:val="18"/>
        </w:rPr>
      </w:pPr>
      <w:r w:rsidRPr="005362CE">
        <w:rPr>
          <w:rStyle w:val="Refdenotaalpie"/>
          <w:rFonts w:ascii="Arial" w:hAnsi="Arial" w:cs="Arial"/>
          <w:sz w:val="18"/>
          <w:szCs w:val="18"/>
        </w:rPr>
        <w:footnoteRef/>
      </w:r>
      <w:r w:rsidRPr="005362CE">
        <w:rPr>
          <w:rStyle w:val="Refdenotaalpie"/>
        </w:rPr>
        <w:t xml:space="preserve"> </w:t>
      </w:r>
      <w:r w:rsidRPr="005362CE">
        <w:rPr>
          <w:rFonts w:ascii="Arial" w:hAnsi="Arial" w:cs="Arial"/>
          <w:sz w:val="18"/>
          <w:szCs w:val="18"/>
        </w:rPr>
        <w:t>Decreto 33411-H publicado en La Gaceta No 210 del 02 de noviembre del 2006.</w:t>
      </w:r>
    </w:p>
  </w:footnote>
  <w:footnote w:id="3">
    <w:p w14:paraId="199A9529" w14:textId="77777777" w:rsidR="004D7C6C" w:rsidRPr="005362CE" w:rsidRDefault="004D7C6C" w:rsidP="00710BA7">
      <w:pPr>
        <w:pStyle w:val="Textonotapie"/>
        <w:rPr>
          <w:rFonts w:ascii="Arial" w:hAnsi="Arial" w:cs="Arial"/>
          <w:sz w:val="18"/>
          <w:szCs w:val="18"/>
        </w:rPr>
      </w:pPr>
      <w:r w:rsidRPr="005362CE">
        <w:rPr>
          <w:rStyle w:val="Refdenotaalpie"/>
          <w:rFonts w:ascii="Arial" w:hAnsi="Arial" w:cs="Arial"/>
          <w:sz w:val="18"/>
          <w:szCs w:val="18"/>
        </w:rPr>
        <w:footnoteRef/>
      </w:r>
      <w:r w:rsidRPr="005362CE">
        <w:rPr>
          <w:rFonts w:ascii="Arial" w:hAnsi="Arial" w:cs="Arial"/>
          <w:sz w:val="18"/>
          <w:szCs w:val="18"/>
        </w:rPr>
        <w:t xml:space="preserve"> Artículo 3.-Régimen jurídico, Ley 7494.</w:t>
      </w:r>
    </w:p>
  </w:footnote>
  <w:footnote w:id="4">
    <w:p w14:paraId="5A5909DA" w14:textId="77777777" w:rsidR="004D7C6C" w:rsidRPr="005362CE" w:rsidRDefault="004D7C6C" w:rsidP="00BE2946">
      <w:pPr>
        <w:pStyle w:val="Textonotapie"/>
        <w:rPr>
          <w:rFonts w:ascii="Arial" w:hAnsi="Arial" w:cs="Arial"/>
          <w:sz w:val="18"/>
          <w:szCs w:val="18"/>
        </w:rPr>
      </w:pPr>
      <w:r w:rsidRPr="005362CE">
        <w:rPr>
          <w:rStyle w:val="Refdenotaalpie"/>
          <w:rFonts w:ascii="Arial" w:hAnsi="Arial" w:cs="Arial"/>
          <w:sz w:val="18"/>
          <w:szCs w:val="18"/>
        </w:rPr>
        <w:footnoteRef/>
      </w:r>
      <w:r w:rsidRPr="005362CE">
        <w:rPr>
          <w:rFonts w:ascii="Arial" w:hAnsi="Arial" w:cs="Arial"/>
          <w:sz w:val="18"/>
          <w:szCs w:val="18"/>
        </w:rPr>
        <w:t xml:space="preserve"> Artículo 4</w:t>
      </w:r>
      <w:r>
        <w:rPr>
          <w:rFonts w:ascii="Arial" w:hAnsi="Arial" w:cs="Arial"/>
          <w:sz w:val="18"/>
          <w:szCs w:val="18"/>
        </w:rPr>
        <w:t>.</w:t>
      </w:r>
      <w:r w:rsidRPr="005362CE">
        <w:rPr>
          <w:rFonts w:ascii="Arial" w:hAnsi="Arial" w:cs="Arial"/>
          <w:sz w:val="18"/>
          <w:szCs w:val="18"/>
        </w:rPr>
        <w:t>-Principios de eficacia y eficiencia, Ley 7494.</w:t>
      </w:r>
    </w:p>
  </w:footnote>
  <w:footnote w:id="5">
    <w:p w14:paraId="24DBE6BC" w14:textId="77777777" w:rsidR="004D7C6C" w:rsidRPr="00531E37" w:rsidRDefault="004D7C6C" w:rsidP="008E6988">
      <w:pPr>
        <w:pStyle w:val="Textonotapie"/>
        <w:rPr>
          <w:rFonts w:ascii="Arial" w:hAnsi="Arial" w:cs="Arial"/>
          <w:sz w:val="18"/>
          <w:szCs w:val="18"/>
        </w:rPr>
      </w:pPr>
      <w:r w:rsidRPr="005362CE">
        <w:rPr>
          <w:rStyle w:val="Refdenotaalpie"/>
          <w:rFonts w:ascii="Arial" w:hAnsi="Arial" w:cs="Arial"/>
          <w:sz w:val="18"/>
          <w:szCs w:val="18"/>
        </w:rPr>
        <w:footnoteRef/>
      </w:r>
      <w:r w:rsidRPr="005362CE">
        <w:rPr>
          <w:rFonts w:ascii="Arial" w:hAnsi="Arial" w:cs="Arial"/>
          <w:sz w:val="18"/>
          <w:szCs w:val="18"/>
        </w:rPr>
        <w:t xml:space="preserve"> Reglamento a la Ley de Contratación Administrativa.</w:t>
      </w:r>
    </w:p>
  </w:footnote>
  <w:footnote w:id="6">
    <w:p w14:paraId="232F7B69" w14:textId="77777777" w:rsidR="004D7C6C" w:rsidRPr="00531E37" w:rsidRDefault="004D7C6C" w:rsidP="009B3FDC">
      <w:pPr>
        <w:pStyle w:val="Textonotapie"/>
        <w:rPr>
          <w:rFonts w:ascii="Arial" w:hAnsi="Arial" w:cs="Arial"/>
          <w:sz w:val="18"/>
          <w:szCs w:val="18"/>
        </w:rPr>
      </w:pPr>
      <w:r w:rsidRPr="00531E37">
        <w:rPr>
          <w:rStyle w:val="Refdenotaalpie"/>
          <w:rFonts w:ascii="Arial" w:hAnsi="Arial" w:cs="Arial"/>
          <w:sz w:val="18"/>
          <w:szCs w:val="18"/>
        </w:rPr>
        <w:footnoteRef/>
      </w:r>
      <w:r w:rsidRPr="00531E37">
        <w:rPr>
          <w:rFonts w:ascii="Arial" w:hAnsi="Arial" w:cs="Arial"/>
          <w:sz w:val="18"/>
          <w:szCs w:val="18"/>
        </w:rPr>
        <w:t xml:space="preserve"> </w:t>
      </w:r>
      <w:r>
        <w:rPr>
          <w:rFonts w:ascii="Arial" w:hAnsi="Arial" w:cs="Arial"/>
          <w:sz w:val="18"/>
          <w:szCs w:val="18"/>
        </w:rPr>
        <w:t>S</w:t>
      </w:r>
      <w:r w:rsidRPr="009B3FDC">
        <w:rPr>
          <w:rFonts w:ascii="Arial" w:hAnsi="Arial" w:cs="Arial"/>
          <w:sz w:val="18"/>
          <w:szCs w:val="18"/>
        </w:rPr>
        <w:t xml:space="preserve">istema </w:t>
      </w:r>
      <w:r>
        <w:rPr>
          <w:rFonts w:ascii="Arial" w:hAnsi="Arial" w:cs="Arial"/>
          <w:sz w:val="18"/>
          <w:szCs w:val="18"/>
        </w:rPr>
        <w:t>I</w:t>
      </w:r>
      <w:r w:rsidRPr="009B3FDC">
        <w:rPr>
          <w:rFonts w:ascii="Arial" w:hAnsi="Arial" w:cs="Arial"/>
          <w:sz w:val="18"/>
          <w:szCs w:val="18"/>
        </w:rPr>
        <w:t xml:space="preserve">ntegrado de </w:t>
      </w:r>
      <w:r>
        <w:rPr>
          <w:rFonts w:ascii="Arial" w:hAnsi="Arial" w:cs="Arial"/>
          <w:sz w:val="18"/>
          <w:szCs w:val="18"/>
        </w:rPr>
        <w:t>C</w:t>
      </w:r>
      <w:r w:rsidRPr="009B3FDC">
        <w:rPr>
          <w:rFonts w:ascii="Arial" w:hAnsi="Arial" w:cs="Arial"/>
          <w:sz w:val="18"/>
          <w:szCs w:val="18"/>
        </w:rPr>
        <w:t xml:space="preserve">ompras </w:t>
      </w:r>
      <w:r>
        <w:rPr>
          <w:rFonts w:ascii="Arial" w:hAnsi="Arial" w:cs="Arial"/>
          <w:sz w:val="18"/>
          <w:szCs w:val="18"/>
        </w:rPr>
        <w:t>P</w:t>
      </w:r>
      <w:r w:rsidRPr="009B3FDC">
        <w:rPr>
          <w:rFonts w:ascii="Arial" w:hAnsi="Arial" w:cs="Arial"/>
          <w:sz w:val="18"/>
          <w:szCs w:val="18"/>
        </w:rPr>
        <w:t>úblicas</w:t>
      </w:r>
      <w:r>
        <w:rPr>
          <w:rFonts w:ascii="Arial" w:hAnsi="Arial" w:cs="Arial"/>
          <w:sz w:val="18"/>
          <w:szCs w:val="18"/>
        </w:rPr>
        <w:t>.</w:t>
      </w:r>
    </w:p>
  </w:footnote>
  <w:footnote w:id="7">
    <w:p w14:paraId="1CF2DDA8" w14:textId="616A56D5" w:rsidR="004D7C6C" w:rsidRPr="00531E37" w:rsidRDefault="004D7C6C" w:rsidP="00901B06">
      <w:pPr>
        <w:pStyle w:val="Textonotapie"/>
        <w:jc w:val="both"/>
        <w:rPr>
          <w:rFonts w:ascii="Arial" w:hAnsi="Arial" w:cs="Arial"/>
          <w:sz w:val="18"/>
          <w:szCs w:val="18"/>
        </w:rPr>
      </w:pPr>
      <w:r w:rsidRPr="00531E37">
        <w:rPr>
          <w:rStyle w:val="Refdenotaalpie"/>
          <w:rFonts w:ascii="Arial" w:hAnsi="Arial" w:cs="Arial"/>
          <w:sz w:val="18"/>
          <w:szCs w:val="18"/>
        </w:rPr>
        <w:footnoteRef/>
      </w:r>
      <w:r w:rsidRPr="00531E37">
        <w:rPr>
          <w:rFonts w:ascii="Arial" w:hAnsi="Arial" w:cs="Arial"/>
          <w:sz w:val="18"/>
          <w:szCs w:val="18"/>
        </w:rPr>
        <w:t xml:space="preserve"> </w:t>
      </w:r>
      <w:r w:rsidRPr="003D6FC8">
        <w:rPr>
          <w:rFonts w:ascii="Arial" w:hAnsi="Arial" w:cs="Arial"/>
          <w:sz w:val="18"/>
          <w:szCs w:val="18"/>
        </w:rPr>
        <w:t>“Auditoría de carácter especial sobre el Proceso de Adquisiciones de Bienes y Servicios del Ministerio de Hacienda”</w:t>
      </w:r>
      <w:r>
        <w:rPr>
          <w:rFonts w:ascii="Arial" w:hAnsi="Arial" w:cs="Arial"/>
          <w:sz w:val="18"/>
          <w:szCs w:val="18"/>
        </w:rPr>
        <w:t>.</w:t>
      </w:r>
    </w:p>
  </w:footnote>
  <w:footnote w:id="8">
    <w:p w14:paraId="6F9E3F10" w14:textId="77777777" w:rsidR="004D7C6C" w:rsidRPr="00531E37" w:rsidRDefault="004D7C6C" w:rsidP="00E104E4">
      <w:pPr>
        <w:pStyle w:val="Textonotapie"/>
        <w:jc w:val="both"/>
        <w:rPr>
          <w:rFonts w:ascii="Arial" w:hAnsi="Arial" w:cs="Arial"/>
          <w:sz w:val="18"/>
          <w:szCs w:val="18"/>
        </w:rPr>
      </w:pPr>
      <w:r w:rsidRPr="00531E37">
        <w:rPr>
          <w:rStyle w:val="Refdenotaalpie"/>
          <w:rFonts w:ascii="Arial" w:hAnsi="Arial" w:cs="Arial"/>
          <w:sz w:val="18"/>
          <w:szCs w:val="18"/>
        </w:rPr>
        <w:footnoteRef/>
      </w:r>
      <w:r w:rsidRPr="00531E37">
        <w:rPr>
          <w:rFonts w:ascii="Arial" w:hAnsi="Arial" w:cs="Arial"/>
          <w:sz w:val="18"/>
          <w:szCs w:val="18"/>
        </w:rPr>
        <w:t xml:space="preserve"> </w:t>
      </w:r>
      <w:r w:rsidRPr="00160135">
        <w:rPr>
          <w:rFonts w:ascii="Arial" w:hAnsi="Arial" w:cs="Arial"/>
          <w:sz w:val="18"/>
          <w:szCs w:val="18"/>
        </w:rPr>
        <w:t xml:space="preserve">“Elaboración de cronogramas para los procedimientos de contratación” </w:t>
      </w:r>
      <w:r>
        <w:rPr>
          <w:rFonts w:ascii="Arial" w:hAnsi="Arial" w:cs="Arial"/>
          <w:sz w:val="18"/>
          <w:szCs w:val="18"/>
        </w:rPr>
        <w:t>del 23</w:t>
      </w:r>
      <w:r w:rsidRPr="003D6FC8">
        <w:rPr>
          <w:rFonts w:ascii="Arial" w:hAnsi="Arial" w:cs="Arial"/>
          <w:sz w:val="18"/>
          <w:szCs w:val="18"/>
        </w:rPr>
        <w:t xml:space="preserve"> de </w:t>
      </w:r>
      <w:r>
        <w:rPr>
          <w:rFonts w:ascii="Arial" w:hAnsi="Arial" w:cs="Arial"/>
          <w:sz w:val="18"/>
          <w:szCs w:val="18"/>
        </w:rPr>
        <w:t>junio</w:t>
      </w:r>
      <w:r w:rsidRPr="003D6FC8">
        <w:rPr>
          <w:rFonts w:ascii="Arial" w:hAnsi="Arial" w:cs="Arial"/>
          <w:sz w:val="18"/>
          <w:szCs w:val="18"/>
        </w:rPr>
        <w:t>, 201</w:t>
      </w:r>
      <w:r>
        <w:rPr>
          <w:rFonts w:ascii="Arial" w:hAnsi="Arial" w:cs="Arial"/>
          <w:sz w:val="18"/>
          <w:szCs w:val="18"/>
        </w:rPr>
        <w:t>7.</w:t>
      </w:r>
    </w:p>
  </w:footnote>
  <w:footnote w:id="9">
    <w:p w14:paraId="24E63370" w14:textId="77777777" w:rsidR="004D7C6C" w:rsidRPr="00531E37" w:rsidRDefault="004D7C6C" w:rsidP="009A210B">
      <w:pPr>
        <w:pStyle w:val="Textonotapie"/>
        <w:rPr>
          <w:rFonts w:ascii="Arial" w:hAnsi="Arial" w:cs="Arial"/>
          <w:sz w:val="18"/>
          <w:szCs w:val="18"/>
        </w:rPr>
      </w:pPr>
      <w:r w:rsidRPr="00531E37">
        <w:rPr>
          <w:rStyle w:val="Refdenotaalpie"/>
          <w:rFonts w:ascii="Arial" w:hAnsi="Arial" w:cs="Arial"/>
          <w:sz w:val="18"/>
          <w:szCs w:val="18"/>
        </w:rPr>
        <w:footnoteRef/>
      </w:r>
      <w:r w:rsidRPr="00531E37">
        <w:rPr>
          <w:rFonts w:ascii="Arial" w:hAnsi="Arial" w:cs="Arial"/>
          <w:sz w:val="18"/>
          <w:szCs w:val="18"/>
        </w:rPr>
        <w:t xml:space="preserve"> </w:t>
      </w:r>
      <w:r w:rsidRPr="009A210B">
        <w:rPr>
          <w:rFonts w:ascii="Arial" w:hAnsi="Arial" w:cs="Arial"/>
          <w:sz w:val="18"/>
          <w:szCs w:val="18"/>
        </w:rPr>
        <w:t xml:space="preserve">Circular PI-AG-14-2020 </w:t>
      </w:r>
      <w:r>
        <w:rPr>
          <w:rFonts w:ascii="Arial" w:hAnsi="Arial" w:cs="Arial"/>
          <w:sz w:val="18"/>
          <w:szCs w:val="18"/>
        </w:rPr>
        <w:t>del 23</w:t>
      </w:r>
      <w:r w:rsidRPr="003D6FC8">
        <w:rPr>
          <w:rFonts w:ascii="Arial" w:hAnsi="Arial" w:cs="Arial"/>
          <w:sz w:val="18"/>
          <w:szCs w:val="18"/>
        </w:rPr>
        <w:t xml:space="preserve"> de diciembre, 20</w:t>
      </w:r>
      <w:r>
        <w:rPr>
          <w:rFonts w:ascii="Arial" w:hAnsi="Arial" w:cs="Arial"/>
          <w:sz w:val="18"/>
          <w:szCs w:val="18"/>
        </w:rPr>
        <w:t>20.</w:t>
      </w:r>
    </w:p>
  </w:footnote>
  <w:footnote w:id="10">
    <w:p w14:paraId="2E501572" w14:textId="77777777" w:rsidR="004D7C6C" w:rsidRPr="00966C3B" w:rsidRDefault="004D7C6C" w:rsidP="00D80115">
      <w:pPr>
        <w:pStyle w:val="Textonotapie"/>
        <w:rPr>
          <w:rFonts w:ascii="Arial" w:hAnsi="Arial" w:cs="Arial"/>
          <w:sz w:val="16"/>
          <w:szCs w:val="16"/>
        </w:rPr>
      </w:pPr>
      <w:r w:rsidRPr="00966C3B">
        <w:rPr>
          <w:rStyle w:val="Refdenotaalpie"/>
          <w:rFonts w:ascii="Arial" w:hAnsi="Arial" w:cs="Arial"/>
          <w:sz w:val="16"/>
          <w:szCs w:val="16"/>
        </w:rPr>
        <w:footnoteRef/>
      </w:r>
      <w:r w:rsidRPr="00966C3B">
        <w:rPr>
          <w:rFonts w:ascii="Arial" w:hAnsi="Arial" w:cs="Arial"/>
          <w:sz w:val="16"/>
          <w:szCs w:val="16"/>
        </w:rPr>
        <w:t xml:space="preserve"> Decreto Ejecutivo N°33411 del 27/09/2006.</w:t>
      </w:r>
    </w:p>
  </w:footnote>
  <w:footnote w:id="11">
    <w:p w14:paraId="51539460" w14:textId="77777777" w:rsidR="004D7C6C" w:rsidRPr="00531E37" w:rsidRDefault="004D7C6C" w:rsidP="007042D5">
      <w:pPr>
        <w:pStyle w:val="Textonotapie"/>
        <w:jc w:val="both"/>
        <w:rPr>
          <w:rFonts w:ascii="Arial" w:hAnsi="Arial" w:cs="Arial"/>
          <w:sz w:val="18"/>
          <w:szCs w:val="18"/>
        </w:rPr>
      </w:pPr>
      <w:r w:rsidRPr="00966C3B">
        <w:rPr>
          <w:rStyle w:val="Refdenotaalpie"/>
          <w:rFonts w:ascii="Arial" w:hAnsi="Arial" w:cs="Arial"/>
          <w:sz w:val="16"/>
          <w:szCs w:val="16"/>
        </w:rPr>
        <w:footnoteRef/>
      </w:r>
      <w:r w:rsidRPr="00966C3B">
        <w:rPr>
          <w:rFonts w:ascii="Arial" w:hAnsi="Arial" w:cs="Arial"/>
          <w:sz w:val="16"/>
          <w:szCs w:val="16"/>
        </w:rPr>
        <w:t xml:space="preserve"> Directriz DGABCA-0015-2018 del 07 de noviembre del 2018 y Política Institucional MHDAF-PRO02-POL-001.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4AA5" w14:textId="2BA30644" w:rsidR="004D7C6C" w:rsidRDefault="004D7C6C" w:rsidP="008F5499">
    <w:pPr>
      <w:pStyle w:val="Encabezado"/>
    </w:pPr>
    <w:r>
      <w:rPr>
        <w:noProof/>
      </w:rPr>
      <w:drawing>
        <wp:inline distT="0" distB="0" distL="0" distR="0" wp14:anchorId="66077D67" wp14:editId="4862C271">
          <wp:extent cx="1048385" cy="46926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469265"/>
                  </a:xfrm>
                  <a:prstGeom prst="rect">
                    <a:avLst/>
                  </a:prstGeom>
                  <a:noFill/>
                </pic:spPr>
              </pic:pic>
            </a:graphicData>
          </a:graphic>
        </wp:inline>
      </w:drawing>
    </w:r>
    <w:r>
      <w:tab/>
      <w:t xml:space="preserve">                                                                                                    </w:t>
    </w:r>
    <w:r>
      <w:rPr>
        <w:noProof/>
      </w:rPr>
      <w:drawing>
        <wp:inline distT="0" distB="0" distL="0" distR="0" wp14:anchorId="0FCA43B8" wp14:editId="5D949513">
          <wp:extent cx="1280160" cy="65214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652145"/>
                  </a:xfrm>
                  <a:prstGeom prst="rect">
                    <a:avLst/>
                  </a:prstGeom>
                  <a:noFill/>
                </pic:spPr>
              </pic:pic>
            </a:graphicData>
          </a:graphic>
        </wp:inline>
      </w:drawing>
    </w:r>
  </w:p>
  <w:p w14:paraId="0C5790D4" w14:textId="77BF90AD" w:rsidR="004D7C6C" w:rsidRPr="008F5499" w:rsidRDefault="004D7C6C" w:rsidP="008F5499">
    <w:pPr>
      <w:pStyle w:val="Encabezado"/>
      <w:spacing w:before="100" w:beforeAutospacing="1" w:after="100" w:afterAutospacing="1"/>
      <w:contextualSpacing/>
      <w:jc w:val="right"/>
      <w:rPr>
        <w:rFonts w:ascii="Arial" w:hAnsi="Arial" w:cs="Arial"/>
        <w:sz w:val="20"/>
        <w:szCs w:val="20"/>
      </w:rPr>
    </w:pPr>
    <w:r w:rsidRPr="008F5499">
      <w:rPr>
        <w:rFonts w:ascii="Arial" w:hAnsi="Arial" w:cs="Arial"/>
        <w:sz w:val="20"/>
        <w:szCs w:val="20"/>
      </w:rPr>
      <w:t>AI-INF-CI-</w:t>
    </w:r>
    <w:r w:rsidR="001E4AFD">
      <w:rPr>
        <w:rFonts w:ascii="Arial" w:hAnsi="Arial" w:cs="Arial"/>
        <w:sz w:val="20"/>
        <w:szCs w:val="20"/>
      </w:rPr>
      <w:t>005</w:t>
    </w:r>
    <w:r w:rsidRPr="008F5499">
      <w:rPr>
        <w:rFonts w:ascii="Arial" w:hAnsi="Arial" w:cs="Arial"/>
        <w:sz w:val="20"/>
        <w:szCs w:val="20"/>
      </w:rPr>
      <w:t>-2022</w:t>
    </w:r>
  </w:p>
  <w:sdt>
    <w:sdtPr>
      <w:rPr>
        <w:rFonts w:ascii="Arial" w:hAnsi="Arial" w:cs="Arial"/>
        <w:sz w:val="20"/>
        <w:szCs w:val="20"/>
      </w:rPr>
      <w:id w:val="-1318336367"/>
      <w:docPartObj>
        <w:docPartGallery w:val="Page Numbers (Top of Page)"/>
        <w:docPartUnique/>
      </w:docPartObj>
    </w:sdtPr>
    <w:sdtEndPr/>
    <w:sdtContent>
      <w:p w14:paraId="165BD4EF" w14:textId="77777777" w:rsidR="004D7C6C" w:rsidRPr="008F5499" w:rsidRDefault="004D7C6C" w:rsidP="008F5499">
        <w:pPr>
          <w:pStyle w:val="Encabezado"/>
          <w:spacing w:before="100" w:beforeAutospacing="1" w:after="100" w:afterAutospacing="1"/>
          <w:contextualSpacing/>
          <w:jc w:val="right"/>
          <w:rPr>
            <w:rFonts w:ascii="Arial" w:hAnsi="Arial" w:cs="Arial"/>
            <w:sz w:val="20"/>
            <w:szCs w:val="20"/>
          </w:rPr>
        </w:pPr>
        <w:r w:rsidRPr="008F5499">
          <w:rPr>
            <w:rFonts w:ascii="Arial" w:hAnsi="Arial" w:cs="Arial"/>
            <w:sz w:val="20"/>
            <w:szCs w:val="20"/>
            <w:lang w:val="es-ES"/>
          </w:rPr>
          <w:t xml:space="preserve">Página </w:t>
        </w:r>
        <w:r w:rsidRPr="008F5499">
          <w:rPr>
            <w:rFonts w:ascii="Arial" w:hAnsi="Arial" w:cs="Arial"/>
            <w:bCs/>
            <w:sz w:val="20"/>
            <w:szCs w:val="20"/>
          </w:rPr>
          <w:fldChar w:fldCharType="begin"/>
        </w:r>
        <w:r w:rsidRPr="008F5499">
          <w:rPr>
            <w:rFonts w:ascii="Arial" w:hAnsi="Arial" w:cs="Arial"/>
            <w:bCs/>
            <w:sz w:val="20"/>
            <w:szCs w:val="20"/>
          </w:rPr>
          <w:instrText>PAGE</w:instrText>
        </w:r>
        <w:r w:rsidRPr="008F5499">
          <w:rPr>
            <w:rFonts w:ascii="Arial" w:hAnsi="Arial" w:cs="Arial"/>
            <w:bCs/>
            <w:sz w:val="20"/>
            <w:szCs w:val="20"/>
          </w:rPr>
          <w:fldChar w:fldCharType="separate"/>
        </w:r>
        <w:r w:rsidRPr="008F5499">
          <w:rPr>
            <w:rFonts w:ascii="Arial" w:hAnsi="Arial" w:cs="Arial"/>
            <w:bCs/>
            <w:sz w:val="20"/>
            <w:szCs w:val="20"/>
            <w:lang w:val="es-ES"/>
          </w:rPr>
          <w:t>2</w:t>
        </w:r>
        <w:r w:rsidRPr="008F5499">
          <w:rPr>
            <w:rFonts w:ascii="Arial" w:hAnsi="Arial" w:cs="Arial"/>
            <w:bCs/>
            <w:sz w:val="20"/>
            <w:szCs w:val="20"/>
          </w:rPr>
          <w:fldChar w:fldCharType="end"/>
        </w:r>
        <w:r w:rsidRPr="008F5499">
          <w:rPr>
            <w:rFonts w:ascii="Arial" w:hAnsi="Arial" w:cs="Arial"/>
            <w:sz w:val="20"/>
            <w:szCs w:val="20"/>
            <w:lang w:val="es-ES"/>
          </w:rPr>
          <w:t xml:space="preserve"> de </w:t>
        </w:r>
        <w:r w:rsidRPr="008F5499">
          <w:rPr>
            <w:rFonts w:ascii="Arial" w:hAnsi="Arial" w:cs="Arial"/>
            <w:bCs/>
            <w:sz w:val="20"/>
            <w:szCs w:val="20"/>
          </w:rPr>
          <w:fldChar w:fldCharType="begin"/>
        </w:r>
        <w:r w:rsidRPr="008F5499">
          <w:rPr>
            <w:rFonts w:ascii="Arial" w:hAnsi="Arial" w:cs="Arial"/>
            <w:bCs/>
            <w:sz w:val="20"/>
            <w:szCs w:val="20"/>
          </w:rPr>
          <w:instrText>NUMPAGES</w:instrText>
        </w:r>
        <w:r w:rsidRPr="008F5499">
          <w:rPr>
            <w:rFonts w:ascii="Arial" w:hAnsi="Arial" w:cs="Arial"/>
            <w:bCs/>
            <w:sz w:val="20"/>
            <w:szCs w:val="20"/>
          </w:rPr>
          <w:fldChar w:fldCharType="separate"/>
        </w:r>
        <w:r w:rsidRPr="008F5499">
          <w:rPr>
            <w:rFonts w:ascii="Arial" w:hAnsi="Arial" w:cs="Arial"/>
            <w:bCs/>
            <w:sz w:val="20"/>
            <w:szCs w:val="20"/>
            <w:lang w:val="es-ES"/>
          </w:rPr>
          <w:t>2</w:t>
        </w:r>
        <w:r w:rsidRPr="008F5499">
          <w:rPr>
            <w:rFonts w:ascii="Arial" w:hAnsi="Arial" w:cs="Arial"/>
            <w:bCs/>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2" w15:restartNumberingAfterBreak="0">
    <w:nsid w:val="05B361A0"/>
    <w:multiLevelType w:val="multilevel"/>
    <w:tmpl w:val="8714958A"/>
    <w:lvl w:ilvl="0">
      <w:start w:val="1"/>
      <w:numFmt w:val="decimal"/>
      <w:lvlText w:val="%1."/>
      <w:lvlJc w:val="left"/>
      <w:pPr>
        <w:ind w:left="720" w:hanging="360"/>
      </w:pPr>
      <w:rPr>
        <w:rFonts w:hint="default"/>
      </w:rPr>
    </w:lvl>
    <w:lvl w:ilvl="1">
      <w:start w:val="8"/>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1721C1"/>
    <w:multiLevelType w:val="hybridMultilevel"/>
    <w:tmpl w:val="35D807F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17A2BB7"/>
    <w:multiLevelType w:val="multilevel"/>
    <w:tmpl w:val="599653F0"/>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b/>
        <w:i w:val="0"/>
        <w:sz w:val="24"/>
        <w:szCs w:val="24"/>
      </w:rPr>
    </w:lvl>
    <w:lvl w:ilvl="2">
      <w:start w:val="1"/>
      <w:numFmt w:val="decimal"/>
      <w:isLgl/>
      <w:lvlText w:val="%1.%2.%3"/>
      <w:lvlJc w:val="left"/>
      <w:pPr>
        <w:ind w:left="720" w:hanging="720"/>
      </w:pPr>
      <w:rPr>
        <w:rFonts w:hint="default"/>
        <w:b/>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4FF2A1F"/>
    <w:multiLevelType w:val="hybridMultilevel"/>
    <w:tmpl w:val="59BE654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162772"/>
    <w:multiLevelType w:val="multilevel"/>
    <w:tmpl w:val="D92044C8"/>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3B352B"/>
    <w:multiLevelType w:val="multilevel"/>
    <w:tmpl w:val="674A083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ascii="Arial" w:eastAsia="Times New Roman" w:hAnsi="Arial" w:cs="Times New Roman" w:hint="default"/>
        <w:b/>
        <w:color w:val="44546A" w:themeColor="text2"/>
        <w:sz w:val="24"/>
      </w:rPr>
    </w:lvl>
    <w:lvl w:ilvl="2">
      <w:start w:val="1"/>
      <w:numFmt w:val="decimal"/>
      <w:isLgl/>
      <w:lvlText w:val="%1.%2.%3"/>
      <w:lvlJc w:val="left"/>
      <w:pPr>
        <w:ind w:left="720" w:hanging="720"/>
      </w:pPr>
      <w:rPr>
        <w:rFonts w:ascii="Arial" w:eastAsia="Times New Roman" w:hAnsi="Arial" w:cs="Times New Roman" w:hint="default"/>
        <w:b/>
        <w:color w:val="1F497D"/>
        <w:sz w:val="24"/>
      </w:rPr>
    </w:lvl>
    <w:lvl w:ilvl="3">
      <w:start w:val="1"/>
      <w:numFmt w:val="decimal"/>
      <w:isLgl/>
      <w:lvlText w:val="%1.%2.%3.%4"/>
      <w:lvlJc w:val="left"/>
      <w:pPr>
        <w:ind w:left="1080" w:hanging="1080"/>
      </w:pPr>
      <w:rPr>
        <w:rFonts w:ascii="Arial" w:eastAsia="Times New Roman" w:hAnsi="Arial" w:cs="Times New Roman" w:hint="default"/>
        <w:b/>
        <w:color w:val="1F497D"/>
        <w:sz w:val="24"/>
      </w:rPr>
    </w:lvl>
    <w:lvl w:ilvl="4">
      <w:start w:val="1"/>
      <w:numFmt w:val="decimal"/>
      <w:isLgl/>
      <w:lvlText w:val="%1.%2.%3.%4.%5"/>
      <w:lvlJc w:val="left"/>
      <w:pPr>
        <w:ind w:left="1080" w:hanging="1080"/>
      </w:pPr>
      <w:rPr>
        <w:rFonts w:ascii="Arial" w:eastAsia="Times New Roman" w:hAnsi="Arial" w:cs="Times New Roman" w:hint="default"/>
        <w:b/>
        <w:color w:val="1F497D"/>
        <w:sz w:val="24"/>
      </w:rPr>
    </w:lvl>
    <w:lvl w:ilvl="5">
      <w:start w:val="1"/>
      <w:numFmt w:val="decimal"/>
      <w:isLgl/>
      <w:lvlText w:val="%1.%2.%3.%4.%5.%6"/>
      <w:lvlJc w:val="left"/>
      <w:pPr>
        <w:ind w:left="1440" w:hanging="1440"/>
      </w:pPr>
      <w:rPr>
        <w:rFonts w:ascii="Arial" w:eastAsia="Times New Roman" w:hAnsi="Arial" w:cs="Times New Roman" w:hint="default"/>
        <w:b/>
        <w:color w:val="1F497D"/>
        <w:sz w:val="24"/>
      </w:rPr>
    </w:lvl>
    <w:lvl w:ilvl="6">
      <w:start w:val="1"/>
      <w:numFmt w:val="decimal"/>
      <w:isLgl/>
      <w:lvlText w:val="%1.%2.%3.%4.%5.%6.%7"/>
      <w:lvlJc w:val="left"/>
      <w:pPr>
        <w:ind w:left="1440" w:hanging="1440"/>
      </w:pPr>
      <w:rPr>
        <w:rFonts w:ascii="Arial" w:eastAsia="Times New Roman" w:hAnsi="Arial" w:cs="Times New Roman" w:hint="default"/>
        <w:b/>
        <w:color w:val="1F497D"/>
        <w:sz w:val="24"/>
      </w:rPr>
    </w:lvl>
    <w:lvl w:ilvl="7">
      <w:start w:val="1"/>
      <w:numFmt w:val="decimal"/>
      <w:isLgl/>
      <w:lvlText w:val="%1.%2.%3.%4.%5.%6.%7.%8"/>
      <w:lvlJc w:val="left"/>
      <w:pPr>
        <w:ind w:left="1800" w:hanging="1800"/>
      </w:pPr>
      <w:rPr>
        <w:rFonts w:ascii="Arial" w:eastAsia="Times New Roman" w:hAnsi="Arial" w:cs="Times New Roman" w:hint="default"/>
        <w:b/>
        <w:color w:val="1F497D"/>
        <w:sz w:val="24"/>
      </w:rPr>
    </w:lvl>
    <w:lvl w:ilvl="8">
      <w:start w:val="1"/>
      <w:numFmt w:val="decimal"/>
      <w:isLgl/>
      <w:lvlText w:val="%1.%2.%3.%4.%5.%6.%7.%8.%9"/>
      <w:lvlJc w:val="left"/>
      <w:pPr>
        <w:ind w:left="1800" w:hanging="1800"/>
      </w:pPr>
      <w:rPr>
        <w:rFonts w:ascii="Arial" w:eastAsia="Times New Roman" w:hAnsi="Arial" w:cs="Times New Roman" w:hint="default"/>
        <w:b/>
        <w:color w:val="1F497D"/>
        <w:sz w:val="24"/>
      </w:rPr>
    </w:lvl>
  </w:abstractNum>
  <w:abstractNum w:abstractNumId="10" w15:restartNumberingAfterBreak="0">
    <w:nsid w:val="20650659"/>
    <w:multiLevelType w:val="multilevel"/>
    <w:tmpl w:val="09A4220A"/>
    <w:lvl w:ilvl="0">
      <w:start w:val="4"/>
      <w:numFmt w:val="decimal"/>
      <w:lvlText w:val="%1."/>
      <w:lvlJc w:val="left"/>
      <w:pPr>
        <w:ind w:left="720" w:hanging="360"/>
      </w:pPr>
      <w:rPr>
        <w:rFonts w:hint="default"/>
      </w:rPr>
    </w:lvl>
    <w:lvl w:ilvl="1">
      <w:start w:val="1"/>
      <w:numFmt w:val="decimal"/>
      <w:isLgl/>
      <w:lvlText w:val="%1.%2"/>
      <w:lvlJc w:val="left"/>
      <w:pPr>
        <w:ind w:left="284" w:firstLine="76"/>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C64D1A"/>
    <w:multiLevelType w:val="hybridMultilevel"/>
    <w:tmpl w:val="38B87D6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12" w15:restartNumberingAfterBreak="0">
    <w:nsid w:val="2FE4721D"/>
    <w:multiLevelType w:val="multilevel"/>
    <w:tmpl w:val="599653F0"/>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b/>
        <w:i w:val="0"/>
        <w:sz w:val="24"/>
        <w:szCs w:val="24"/>
      </w:rPr>
    </w:lvl>
    <w:lvl w:ilvl="2">
      <w:start w:val="1"/>
      <w:numFmt w:val="decimal"/>
      <w:isLgl/>
      <w:lvlText w:val="%1.%2.%3"/>
      <w:lvlJc w:val="left"/>
      <w:pPr>
        <w:ind w:left="1080" w:hanging="720"/>
      </w:pPr>
      <w:rPr>
        <w:rFonts w:hint="default"/>
        <w:b/>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0B708E2"/>
    <w:multiLevelType w:val="hybridMultilevel"/>
    <w:tmpl w:val="64580042"/>
    <w:lvl w:ilvl="0" w:tplc="9C3401B8">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 w15:restartNumberingAfterBreak="0">
    <w:nsid w:val="39E11CE7"/>
    <w:multiLevelType w:val="hybridMultilevel"/>
    <w:tmpl w:val="23DE683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9B56230"/>
    <w:multiLevelType w:val="multilevel"/>
    <w:tmpl w:val="93E07C66"/>
    <w:lvl w:ilvl="0">
      <w:start w:val="1"/>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8" w15:restartNumberingAfterBreak="0">
    <w:nsid w:val="54AB7747"/>
    <w:multiLevelType w:val="hybridMultilevel"/>
    <w:tmpl w:val="678A9CC2"/>
    <w:lvl w:ilvl="0" w:tplc="38C8D58A">
      <w:start w:val="1"/>
      <w:numFmt w:val="decimal"/>
      <w:lvlText w:val="%1."/>
      <w:lvlJc w:val="left"/>
      <w:pPr>
        <w:ind w:left="720" w:hanging="360"/>
      </w:pPr>
      <w:rPr>
        <w:rFonts w:hint="default"/>
        <w:sz w:val="20"/>
        <w:szCs w:val="20"/>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BD535C9"/>
    <w:multiLevelType w:val="hybridMultilevel"/>
    <w:tmpl w:val="B1049A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2FA514A"/>
    <w:multiLevelType w:val="hybridMultilevel"/>
    <w:tmpl w:val="879CD3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4"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73CE72F5"/>
    <w:multiLevelType w:val="multilevel"/>
    <w:tmpl w:val="BEB6FC50"/>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523DD2"/>
    <w:multiLevelType w:val="hybridMultilevel"/>
    <w:tmpl w:val="C13C98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E01447F"/>
    <w:multiLevelType w:val="multilevel"/>
    <w:tmpl w:val="599653F0"/>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b/>
        <w:i w:val="0"/>
        <w:sz w:val="24"/>
        <w:szCs w:val="24"/>
      </w:rPr>
    </w:lvl>
    <w:lvl w:ilvl="2">
      <w:start w:val="1"/>
      <w:numFmt w:val="decimal"/>
      <w:isLgl/>
      <w:lvlText w:val="%1.%2.%3"/>
      <w:lvlJc w:val="left"/>
      <w:pPr>
        <w:ind w:left="1080" w:hanging="720"/>
      </w:pPr>
      <w:rPr>
        <w:rFonts w:hint="default"/>
        <w:b/>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9"/>
  </w:num>
  <w:num w:numId="3">
    <w:abstractNumId w:val="25"/>
  </w:num>
  <w:num w:numId="4">
    <w:abstractNumId w:val="22"/>
  </w:num>
  <w:num w:numId="5">
    <w:abstractNumId w:val="4"/>
  </w:num>
  <w:num w:numId="6">
    <w:abstractNumId w:val="23"/>
  </w:num>
  <w:num w:numId="7">
    <w:abstractNumId w:val="24"/>
  </w:num>
  <w:num w:numId="8">
    <w:abstractNumId w:val="7"/>
  </w:num>
  <w:num w:numId="9">
    <w:abstractNumId w:val="1"/>
  </w:num>
  <w:num w:numId="10">
    <w:abstractNumId w:val="17"/>
  </w:num>
  <w:num w:numId="11">
    <w:abstractNumId w:val="14"/>
  </w:num>
  <w:num w:numId="12">
    <w:abstractNumId w:val="11"/>
  </w:num>
  <w:num w:numId="13">
    <w:abstractNumId w:val="20"/>
  </w:num>
  <w:num w:numId="14">
    <w:abstractNumId w:val="16"/>
  </w:num>
  <w:num w:numId="15">
    <w:abstractNumId w:val="8"/>
  </w:num>
  <w:num w:numId="16">
    <w:abstractNumId w:val="2"/>
  </w:num>
  <w:num w:numId="17">
    <w:abstractNumId w:val="10"/>
  </w:num>
  <w:num w:numId="18">
    <w:abstractNumId w:val="13"/>
  </w:num>
  <w:num w:numId="19">
    <w:abstractNumId w:val="5"/>
  </w:num>
  <w:num w:numId="20">
    <w:abstractNumId w:val="9"/>
  </w:num>
  <w:num w:numId="21">
    <w:abstractNumId w:val="18"/>
  </w:num>
  <w:num w:numId="22">
    <w:abstractNumId w:val="21"/>
  </w:num>
  <w:num w:numId="23">
    <w:abstractNumId w:val="3"/>
  </w:num>
  <w:num w:numId="24">
    <w:abstractNumId w:val="27"/>
  </w:num>
  <w:num w:numId="25">
    <w:abstractNumId w:val="26"/>
  </w:num>
  <w:num w:numId="26">
    <w:abstractNumId w:val="28"/>
  </w:num>
  <w:num w:numId="27">
    <w:abstractNumId w:val="12"/>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0B6E"/>
    <w:rsid w:val="00000EAD"/>
    <w:rsid w:val="00002355"/>
    <w:rsid w:val="00004E0D"/>
    <w:rsid w:val="00005377"/>
    <w:rsid w:val="00007184"/>
    <w:rsid w:val="00010ECF"/>
    <w:rsid w:val="0001409B"/>
    <w:rsid w:val="00017CD1"/>
    <w:rsid w:val="00021121"/>
    <w:rsid w:val="00021743"/>
    <w:rsid w:val="00021E7D"/>
    <w:rsid w:val="000220DE"/>
    <w:rsid w:val="0002490C"/>
    <w:rsid w:val="0002500E"/>
    <w:rsid w:val="00030059"/>
    <w:rsid w:val="00030E25"/>
    <w:rsid w:val="00031057"/>
    <w:rsid w:val="00031758"/>
    <w:rsid w:val="00033B73"/>
    <w:rsid w:val="000340DB"/>
    <w:rsid w:val="00037196"/>
    <w:rsid w:val="00040362"/>
    <w:rsid w:val="00042B78"/>
    <w:rsid w:val="00044177"/>
    <w:rsid w:val="000471D0"/>
    <w:rsid w:val="000503A2"/>
    <w:rsid w:val="00052A0E"/>
    <w:rsid w:val="00052E00"/>
    <w:rsid w:val="00061EDC"/>
    <w:rsid w:val="00063447"/>
    <w:rsid w:val="00065069"/>
    <w:rsid w:val="00066191"/>
    <w:rsid w:val="0007636A"/>
    <w:rsid w:val="000777A0"/>
    <w:rsid w:val="0008010B"/>
    <w:rsid w:val="000811F4"/>
    <w:rsid w:val="00086AC7"/>
    <w:rsid w:val="00094946"/>
    <w:rsid w:val="00097935"/>
    <w:rsid w:val="000A1376"/>
    <w:rsid w:val="000A24A7"/>
    <w:rsid w:val="000A30CE"/>
    <w:rsid w:val="000A4798"/>
    <w:rsid w:val="000A5152"/>
    <w:rsid w:val="000A5B27"/>
    <w:rsid w:val="000B0069"/>
    <w:rsid w:val="000B0080"/>
    <w:rsid w:val="000B158E"/>
    <w:rsid w:val="000B1AE6"/>
    <w:rsid w:val="000B29C9"/>
    <w:rsid w:val="000B5CBE"/>
    <w:rsid w:val="000C0A77"/>
    <w:rsid w:val="000C3312"/>
    <w:rsid w:val="000C3422"/>
    <w:rsid w:val="000C3876"/>
    <w:rsid w:val="000C461E"/>
    <w:rsid w:val="000C60E3"/>
    <w:rsid w:val="000D22A3"/>
    <w:rsid w:val="000D55D8"/>
    <w:rsid w:val="000D6389"/>
    <w:rsid w:val="000E10EA"/>
    <w:rsid w:val="000E17A0"/>
    <w:rsid w:val="000E1B14"/>
    <w:rsid w:val="000E36F7"/>
    <w:rsid w:val="000E4C3A"/>
    <w:rsid w:val="000E4E48"/>
    <w:rsid w:val="000F0D7A"/>
    <w:rsid w:val="000F16C9"/>
    <w:rsid w:val="000F1902"/>
    <w:rsid w:val="000F3E42"/>
    <w:rsid w:val="000F4667"/>
    <w:rsid w:val="000F4957"/>
    <w:rsid w:val="00100099"/>
    <w:rsid w:val="00100217"/>
    <w:rsid w:val="00101B84"/>
    <w:rsid w:val="00101E8E"/>
    <w:rsid w:val="00102225"/>
    <w:rsid w:val="001031CF"/>
    <w:rsid w:val="0010514F"/>
    <w:rsid w:val="00105E4B"/>
    <w:rsid w:val="001102D8"/>
    <w:rsid w:val="0011229E"/>
    <w:rsid w:val="001123A7"/>
    <w:rsid w:val="00116DC5"/>
    <w:rsid w:val="00122FA8"/>
    <w:rsid w:val="00124A14"/>
    <w:rsid w:val="0013005E"/>
    <w:rsid w:val="00130714"/>
    <w:rsid w:val="00130ACE"/>
    <w:rsid w:val="001334E3"/>
    <w:rsid w:val="0013779D"/>
    <w:rsid w:val="00141546"/>
    <w:rsid w:val="00145580"/>
    <w:rsid w:val="00150AC1"/>
    <w:rsid w:val="001526EC"/>
    <w:rsid w:val="00152CD3"/>
    <w:rsid w:val="0015442C"/>
    <w:rsid w:val="0015732C"/>
    <w:rsid w:val="00160135"/>
    <w:rsid w:val="0016072A"/>
    <w:rsid w:val="00166E72"/>
    <w:rsid w:val="00166EB1"/>
    <w:rsid w:val="00167357"/>
    <w:rsid w:val="00170D5B"/>
    <w:rsid w:val="00173DDE"/>
    <w:rsid w:val="00176E68"/>
    <w:rsid w:val="00181A49"/>
    <w:rsid w:val="001822B6"/>
    <w:rsid w:val="00183D7C"/>
    <w:rsid w:val="00187437"/>
    <w:rsid w:val="0019048C"/>
    <w:rsid w:val="00190AEF"/>
    <w:rsid w:val="00190B2A"/>
    <w:rsid w:val="00191F09"/>
    <w:rsid w:val="00191F82"/>
    <w:rsid w:val="001941C4"/>
    <w:rsid w:val="00197D01"/>
    <w:rsid w:val="001A12FF"/>
    <w:rsid w:val="001A4A46"/>
    <w:rsid w:val="001A4B74"/>
    <w:rsid w:val="001A50AF"/>
    <w:rsid w:val="001B1962"/>
    <w:rsid w:val="001B3325"/>
    <w:rsid w:val="001B4663"/>
    <w:rsid w:val="001B50AF"/>
    <w:rsid w:val="001B6045"/>
    <w:rsid w:val="001C1546"/>
    <w:rsid w:val="001C2FF9"/>
    <w:rsid w:val="001C4132"/>
    <w:rsid w:val="001C618B"/>
    <w:rsid w:val="001C667C"/>
    <w:rsid w:val="001C7132"/>
    <w:rsid w:val="001C7DC3"/>
    <w:rsid w:val="001D2375"/>
    <w:rsid w:val="001D2A31"/>
    <w:rsid w:val="001D439F"/>
    <w:rsid w:val="001D7EEB"/>
    <w:rsid w:val="001E04A0"/>
    <w:rsid w:val="001E07A9"/>
    <w:rsid w:val="001E1076"/>
    <w:rsid w:val="001E4AFD"/>
    <w:rsid w:val="001E4E55"/>
    <w:rsid w:val="001E5B47"/>
    <w:rsid w:val="001F166F"/>
    <w:rsid w:val="001F3C91"/>
    <w:rsid w:val="001F438B"/>
    <w:rsid w:val="001F4CCB"/>
    <w:rsid w:val="001F6A39"/>
    <w:rsid w:val="001F6A8B"/>
    <w:rsid w:val="00200126"/>
    <w:rsid w:val="002003C0"/>
    <w:rsid w:val="00202656"/>
    <w:rsid w:val="0020299F"/>
    <w:rsid w:val="00202F9C"/>
    <w:rsid w:val="00210C0F"/>
    <w:rsid w:val="002121E5"/>
    <w:rsid w:val="002124C7"/>
    <w:rsid w:val="002134AE"/>
    <w:rsid w:val="002160EE"/>
    <w:rsid w:val="002164E0"/>
    <w:rsid w:val="0022180D"/>
    <w:rsid w:val="002246DC"/>
    <w:rsid w:val="002272DE"/>
    <w:rsid w:val="002279D2"/>
    <w:rsid w:val="002330DC"/>
    <w:rsid w:val="00233E6F"/>
    <w:rsid w:val="00233FFA"/>
    <w:rsid w:val="00235CE2"/>
    <w:rsid w:val="002367E7"/>
    <w:rsid w:val="0024124B"/>
    <w:rsid w:val="00241B2C"/>
    <w:rsid w:val="00244440"/>
    <w:rsid w:val="00245A97"/>
    <w:rsid w:val="00246AEC"/>
    <w:rsid w:val="00247213"/>
    <w:rsid w:val="00254D22"/>
    <w:rsid w:val="00255AF2"/>
    <w:rsid w:val="00255E52"/>
    <w:rsid w:val="002563C1"/>
    <w:rsid w:val="00257542"/>
    <w:rsid w:val="00261C05"/>
    <w:rsid w:val="00261CAB"/>
    <w:rsid w:val="0026217D"/>
    <w:rsid w:val="0026707F"/>
    <w:rsid w:val="00270510"/>
    <w:rsid w:val="002728A7"/>
    <w:rsid w:val="002744F0"/>
    <w:rsid w:val="00274634"/>
    <w:rsid w:val="00274A50"/>
    <w:rsid w:val="00276079"/>
    <w:rsid w:val="00277732"/>
    <w:rsid w:val="00277D0B"/>
    <w:rsid w:val="002833BE"/>
    <w:rsid w:val="002948B5"/>
    <w:rsid w:val="00296FC1"/>
    <w:rsid w:val="002A3EDE"/>
    <w:rsid w:val="002A5E01"/>
    <w:rsid w:val="002A75E7"/>
    <w:rsid w:val="002B1173"/>
    <w:rsid w:val="002B137C"/>
    <w:rsid w:val="002B49D2"/>
    <w:rsid w:val="002C0919"/>
    <w:rsid w:val="002C1786"/>
    <w:rsid w:val="002C29B8"/>
    <w:rsid w:val="002C2C4A"/>
    <w:rsid w:val="002C2FFD"/>
    <w:rsid w:val="002C3B87"/>
    <w:rsid w:val="002C5E87"/>
    <w:rsid w:val="002D0017"/>
    <w:rsid w:val="002D146C"/>
    <w:rsid w:val="002D2445"/>
    <w:rsid w:val="002D43C1"/>
    <w:rsid w:val="002D4753"/>
    <w:rsid w:val="002D4E75"/>
    <w:rsid w:val="002D681A"/>
    <w:rsid w:val="002E0B6C"/>
    <w:rsid w:val="002E48AB"/>
    <w:rsid w:val="002E4BFB"/>
    <w:rsid w:val="002E7FAC"/>
    <w:rsid w:val="002F1867"/>
    <w:rsid w:val="002F6895"/>
    <w:rsid w:val="002F7643"/>
    <w:rsid w:val="003001D3"/>
    <w:rsid w:val="0030460D"/>
    <w:rsid w:val="0030715E"/>
    <w:rsid w:val="0030748B"/>
    <w:rsid w:val="00310A73"/>
    <w:rsid w:val="003117B7"/>
    <w:rsid w:val="003134D1"/>
    <w:rsid w:val="0031379D"/>
    <w:rsid w:val="00321FA6"/>
    <w:rsid w:val="00322BF1"/>
    <w:rsid w:val="003351F7"/>
    <w:rsid w:val="00335AC5"/>
    <w:rsid w:val="00336FF6"/>
    <w:rsid w:val="00340A4C"/>
    <w:rsid w:val="00341B37"/>
    <w:rsid w:val="0035007B"/>
    <w:rsid w:val="0035326F"/>
    <w:rsid w:val="00353280"/>
    <w:rsid w:val="00366F40"/>
    <w:rsid w:val="00367F0E"/>
    <w:rsid w:val="003718D3"/>
    <w:rsid w:val="00373460"/>
    <w:rsid w:val="003773FE"/>
    <w:rsid w:val="00377F58"/>
    <w:rsid w:val="00384A4E"/>
    <w:rsid w:val="00384E0B"/>
    <w:rsid w:val="00386525"/>
    <w:rsid w:val="00393152"/>
    <w:rsid w:val="00394690"/>
    <w:rsid w:val="003A01BC"/>
    <w:rsid w:val="003A2CD9"/>
    <w:rsid w:val="003A36C0"/>
    <w:rsid w:val="003A4212"/>
    <w:rsid w:val="003A587F"/>
    <w:rsid w:val="003A5EEA"/>
    <w:rsid w:val="003B1531"/>
    <w:rsid w:val="003B1D6A"/>
    <w:rsid w:val="003B4219"/>
    <w:rsid w:val="003B439D"/>
    <w:rsid w:val="003B633F"/>
    <w:rsid w:val="003C0297"/>
    <w:rsid w:val="003C28F1"/>
    <w:rsid w:val="003C2DB0"/>
    <w:rsid w:val="003C38C1"/>
    <w:rsid w:val="003D15A7"/>
    <w:rsid w:val="003D49E2"/>
    <w:rsid w:val="003D6A47"/>
    <w:rsid w:val="003D6FC8"/>
    <w:rsid w:val="003E27D8"/>
    <w:rsid w:val="003E5209"/>
    <w:rsid w:val="003E5860"/>
    <w:rsid w:val="003E6E27"/>
    <w:rsid w:val="003F0C0A"/>
    <w:rsid w:val="003F30BD"/>
    <w:rsid w:val="003F3725"/>
    <w:rsid w:val="003F6517"/>
    <w:rsid w:val="00402DA9"/>
    <w:rsid w:val="0040343E"/>
    <w:rsid w:val="00403A07"/>
    <w:rsid w:val="004110C0"/>
    <w:rsid w:val="0041177E"/>
    <w:rsid w:val="004120CF"/>
    <w:rsid w:val="00413AE8"/>
    <w:rsid w:val="00413BFD"/>
    <w:rsid w:val="00413E01"/>
    <w:rsid w:val="00415D8A"/>
    <w:rsid w:val="004177D0"/>
    <w:rsid w:val="00423E90"/>
    <w:rsid w:val="00426053"/>
    <w:rsid w:val="00427A17"/>
    <w:rsid w:val="0043052F"/>
    <w:rsid w:val="0043205C"/>
    <w:rsid w:val="004332D6"/>
    <w:rsid w:val="004334A8"/>
    <w:rsid w:val="0043627B"/>
    <w:rsid w:val="00437AD7"/>
    <w:rsid w:val="00441749"/>
    <w:rsid w:val="00441974"/>
    <w:rsid w:val="00442DBB"/>
    <w:rsid w:val="004432F7"/>
    <w:rsid w:val="00443DCD"/>
    <w:rsid w:val="00446FB1"/>
    <w:rsid w:val="00447DB7"/>
    <w:rsid w:val="004519D8"/>
    <w:rsid w:val="00452D8B"/>
    <w:rsid w:val="0046208A"/>
    <w:rsid w:val="004644EB"/>
    <w:rsid w:val="00465F96"/>
    <w:rsid w:val="0046627E"/>
    <w:rsid w:val="004714C2"/>
    <w:rsid w:val="00473916"/>
    <w:rsid w:val="00475395"/>
    <w:rsid w:val="004758EE"/>
    <w:rsid w:val="00481918"/>
    <w:rsid w:val="00484749"/>
    <w:rsid w:val="00485B26"/>
    <w:rsid w:val="00491CF0"/>
    <w:rsid w:val="00491E4E"/>
    <w:rsid w:val="0049358D"/>
    <w:rsid w:val="004964FA"/>
    <w:rsid w:val="004A01AA"/>
    <w:rsid w:val="004A4068"/>
    <w:rsid w:val="004A41FA"/>
    <w:rsid w:val="004A432A"/>
    <w:rsid w:val="004A7980"/>
    <w:rsid w:val="004A7BEA"/>
    <w:rsid w:val="004B087D"/>
    <w:rsid w:val="004B1324"/>
    <w:rsid w:val="004B1BDF"/>
    <w:rsid w:val="004B1DCA"/>
    <w:rsid w:val="004B34DA"/>
    <w:rsid w:val="004B4CEC"/>
    <w:rsid w:val="004B66F2"/>
    <w:rsid w:val="004B71AC"/>
    <w:rsid w:val="004B7E1B"/>
    <w:rsid w:val="004C0083"/>
    <w:rsid w:val="004C0E5F"/>
    <w:rsid w:val="004C32CB"/>
    <w:rsid w:val="004C33F1"/>
    <w:rsid w:val="004C3A04"/>
    <w:rsid w:val="004C7A8D"/>
    <w:rsid w:val="004D669D"/>
    <w:rsid w:val="004D69A9"/>
    <w:rsid w:val="004D7C6C"/>
    <w:rsid w:val="004E15AA"/>
    <w:rsid w:val="004E31C9"/>
    <w:rsid w:val="004F30DB"/>
    <w:rsid w:val="004F5440"/>
    <w:rsid w:val="00500E65"/>
    <w:rsid w:val="005011A5"/>
    <w:rsid w:val="00502A70"/>
    <w:rsid w:val="00505875"/>
    <w:rsid w:val="005059C0"/>
    <w:rsid w:val="00511C7A"/>
    <w:rsid w:val="005132A7"/>
    <w:rsid w:val="0051463D"/>
    <w:rsid w:val="00516DC8"/>
    <w:rsid w:val="005210DF"/>
    <w:rsid w:val="00521483"/>
    <w:rsid w:val="0052257F"/>
    <w:rsid w:val="00522760"/>
    <w:rsid w:val="005249CB"/>
    <w:rsid w:val="00524E2B"/>
    <w:rsid w:val="00525D05"/>
    <w:rsid w:val="00531A28"/>
    <w:rsid w:val="005338E4"/>
    <w:rsid w:val="005362CE"/>
    <w:rsid w:val="0053725C"/>
    <w:rsid w:val="00537B45"/>
    <w:rsid w:val="00546B7C"/>
    <w:rsid w:val="005504B4"/>
    <w:rsid w:val="00550F16"/>
    <w:rsid w:val="00551815"/>
    <w:rsid w:val="0055222A"/>
    <w:rsid w:val="00552D74"/>
    <w:rsid w:val="00553724"/>
    <w:rsid w:val="00553D43"/>
    <w:rsid w:val="00556EF6"/>
    <w:rsid w:val="00556FF1"/>
    <w:rsid w:val="0055735C"/>
    <w:rsid w:val="0055757C"/>
    <w:rsid w:val="00561B50"/>
    <w:rsid w:val="00562F1A"/>
    <w:rsid w:val="00563FF7"/>
    <w:rsid w:val="00565715"/>
    <w:rsid w:val="005667E2"/>
    <w:rsid w:val="005678DD"/>
    <w:rsid w:val="00571CC4"/>
    <w:rsid w:val="00571D81"/>
    <w:rsid w:val="005726D8"/>
    <w:rsid w:val="0057309A"/>
    <w:rsid w:val="0057432A"/>
    <w:rsid w:val="00574C77"/>
    <w:rsid w:val="00575359"/>
    <w:rsid w:val="005756A0"/>
    <w:rsid w:val="005802F4"/>
    <w:rsid w:val="0058030A"/>
    <w:rsid w:val="005804B3"/>
    <w:rsid w:val="00583E96"/>
    <w:rsid w:val="00584869"/>
    <w:rsid w:val="005925A6"/>
    <w:rsid w:val="00595376"/>
    <w:rsid w:val="005A16F5"/>
    <w:rsid w:val="005A1A70"/>
    <w:rsid w:val="005A2125"/>
    <w:rsid w:val="005A2999"/>
    <w:rsid w:val="005A3048"/>
    <w:rsid w:val="005A5942"/>
    <w:rsid w:val="005B2FC3"/>
    <w:rsid w:val="005B4486"/>
    <w:rsid w:val="005C06A6"/>
    <w:rsid w:val="005C0EB9"/>
    <w:rsid w:val="005C60F4"/>
    <w:rsid w:val="005C74A0"/>
    <w:rsid w:val="005D1802"/>
    <w:rsid w:val="005D2181"/>
    <w:rsid w:val="005D5D2D"/>
    <w:rsid w:val="005D73EC"/>
    <w:rsid w:val="005E501C"/>
    <w:rsid w:val="005E6B6A"/>
    <w:rsid w:val="005F0403"/>
    <w:rsid w:val="005F0D88"/>
    <w:rsid w:val="005F2FB7"/>
    <w:rsid w:val="005F4B1F"/>
    <w:rsid w:val="00600189"/>
    <w:rsid w:val="00600B76"/>
    <w:rsid w:val="006025E1"/>
    <w:rsid w:val="0060372D"/>
    <w:rsid w:val="00604B61"/>
    <w:rsid w:val="00604B72"/>
    <w:rsid w:val="00604DD6"/>
    <w:rsid w:val="0060644C"/>
    <w:rsid w:val="006075B3"/>
    <w:rsid w:val="006149A5"/>
    <w:rsid w:val="00615B87"/>
    <w:rsid w:val="006207A1"/>
    <w:rsid w:val="00620CC4"/>
    <w:rsid w:val="00621BFE"/>
    <w:rsid w:val="006226C7"/>
    <w:rsid w:val="006276EC"/>
    <w:rsid w:val="00627B94"/>
    <w:rsid w:val="00633588"/>
    <w:rsid w:val="006365AB"/>
    <w:rsid w:val="00637B6C"/>
    <w:rsid w:val="0064131B"/>
    <w:rsid w:val="00641C3F"/>
    <w:rsid w:val="00642869"/>
    <w:rsid w:val="00643637"/>
    <w:rsid w:val="00644DC5"/>
    <w:rsid w:val="00647A3D"/>
    <w:rsid w:val="00652913"/>
    <w:rsid w:val="00656016"/>
    <w:rsid w:val="00656848"/>
    <w:rsid w:val="006570FD"/>
    <w:rsid w:val="0065757A"/>
    <w:rsid w:val="00660976"/>
    <w:rsid w:val="00660E0F"/>
    <w:rsid w:val="006611A6"/>
    <w:rsid w:val="00661E06"/>
    <w:rsid w:val="006623D5"/>
    <w:rsid w:val="0066419E"/>
    <w:rsid w:val="006650F2"/>
    <w:rsid w:val="006660A7"/>
    <w:rsid w:val="0067354E"/>
    <w:rsid w:val="00673B08"/>
    <w:rsid w:val="00674E8B"/>
    <w:rsid w:val="00677896"/>
    <w:rsid w:val="00681464"/>
    <w:rsid w:val="00683634"/>
    <w:rsid w:val="00684407"/>
    <w:rsid w:val="0068607C"/>
    <w:rsid w:val="00687FF7"/>
    <w:rsid w:val="00691D02"/>
    <w:rsid w:val="00694813"/>
    <w:rsid w:val="00696603"/>
    <w:rsid w:val="00697458"/>
    <w:rsid w:val="006A0352"/>
    <w:rsid w:val="006A0650"/>
    <w:rsid w:val="006A3F96"/>
    <w:rsid w:val="006A6BB4"/>
    <w:rsid w:val="006B0924"/>
    <w:rsid w:val="006B0F98"/>
    <w:rsid w:val="006B1F20"/>
    <w:rsid w:val="006B2372"/>
    <w:rsid w:val="006B2398"/>
    <w:rsid w:val="006B5A94"/>
    <w:rsid w:val="006C0279"/>
    <w:rsid w:val="006C1FB7"/>
    <w:rsid w:val="006C6B66"/>
    <w:rsid w:val="006C7F40"/>
    <w:rsid w:val="006D52BE"/>
    <w:rsid w:val="006D7517"/>
    <w:rsid w:val="006E3114"/>
    <w:rsid w:val="006E4173"/>
    <w:rsid w:val="006E7FC5"/>
    <w:rsid w:val="006F01D3"/>
    <w:rsid w:val="006F08A5"/>
    <w:rsid w:val="006F3506"/>
    <w:rsid w:val="006F4316"/>
    <w:rsid w:val="006F52B2"/>
    <w:rsid w:val="006F6D5D"/>
    <w:rsid w:val="006F72D2"/>
    <w:rsid w:val="00701483"/>
    <w:rsid w:val="007042D5"/>
    <w:rsid w:val="00706964"/>
    <w:rsid w:val="00706A36"/>
    <w:rsid w:val="007076B4"/>
    <w:rsid w:val="00710BA7"/>
    <w:rsid w:val="007117A0"/>
    <w:rsid w:val="0071182D"/>
    <w:rsid w:val="00711864"/>
    <w:rsid w:val="00712472"/>
    <w:rsid w:val="007173A7"/>
    <w:rsid w:val="00721ABD"/>
    <w:rsid w:val="0072257D"/>
    <w:rsid w:val="00723383"/>
    <w:rsid w:val="00727D5F"/>
    <w:rsid w:val="00730213"/>
    <w:rsid w:val="007343A0"/>
    <w:rsid w:val="00734B4B"/>
    <w:rsid w:val="00735638"/>
    <w:rsid w:val="00736305"/>
    <w:rsid w:val="00743C4E"/>
    <w:rsid w:val="00743EEC"/>
    <w:rsid w:val="00743F65"/>
    <w:rsid w:val="00744763"/>
    <w:rsid w:val="0074479D"/>
    <w:rsid w:val="0074571E"/>
    <w:rsid w:val="00750445"/>
    <w:rsid w:val="007525CD"/>
    <w:rsid w:val="00754A66"/>
    <w:rsid w:val="00755136"/>
    <w:rsid w:val="0075629A"/>
    <w:rsid w:val="00756C5D"/>
    <w:rsid w:val="00756FD8"/>
    <w:rsid w:val="00763049"/>
    <w:rsid w:val="00763433"/>
    <w:rsid w:val="00763539"/>
    <w:rsid w:val="007637B1"/>
    <w:rsid w:val="00763993"/>
    <w:rsid w:val="00763D45"/>
    <w:rsid w:val="0076445C"/>
    <w:rsid w:val="00767110"/>
    <w:rsid w:val="00767BA5"/>
    <w:rsid w:val="007725F2"/>
    <w:rsid w:val="007755CC"/>
    <w:rsid w:val="00775750"/>
    <w:rsid w:val="00780812"/>
    <w:rsid w:val="007808BE"/>
    <w:rsid w:val="00780F9F"/>
    <w:rsid w:val="00783FE0"/>
    <w:rsid w:val="007842E4"/>
    <w:rsid w:val="007935B7"/>
    <w:rsid w:val="00794DBE"/>
    <w:rsid w:val="007955B9"/>
    <w:rsid w:val="00795679"/>
    <w:rsid w:val="007A07D7"/>
    <w:rsid w:val="007A0AF1"/>
    <w:rsid w:val="007A14EC"/>
    <w:rsid w:val="007A3031"/>
    <w:rsid w:val="007A360D"/>
    <w:rsid w:val="007A42E3"/>
    <w:rsid w:val="007A4F9E"/>
    <w:rsid w:val="007C2059"/>
    <w:rsid w:val="007C3349"/>
    <w:rsid w:val="007D411F"/>
    <w:rsid w:val="007E0275"/>
    <w:rsid w:val="007E2D2D"/>
    <w:rsid w:val="007E2FE0"/>
    <w:rsid w:val="007E342D"/>
    <w:rsid w:val="007E4928"/>
    <w:rsid w:val="007E69E9"/>
    <w:rsid w:val="007F1DB4"/>
    <w:rsid w:val="007F261B"/>
    <w:rsid w:val="007F2947"/>
    <w:rsid w:val="007F3313"/>
    <w:rsid w:val="007F4556"/>
    <w:rsid w:val="007F4F61"/>
    <w:rsid w:val="007F6653"/>
    <w:rsid w:val="007F6C85"/>
    <w:rsid w:val="0080392A"/>
    <w:rsid w:val="00803D6A"/>
    <w:rsid w:val="00805F52"/>
    <w:rsid w:val="008067CA"/>
    <w:rsid w:val="00806C5F"/>
    <w:rsid w:val="00807A4A"/>
    <w:rsid w:val="00810AF8"/>
    <w:rsid w:val="00811E04"/>
    <w:rsid w:val="00813455"/>
    <w:rsid w:val="00815ABB"/>
    <w:rsid w:val="008163F0"/>
    <w:rsid w:val="008166DD"/>
    <w:rsid w:val="00820768"/>
    <w:rsid w:val="008243E4"/>
    <w:rsid w:val="00826938"/>
    <w:rsid w:val="00831BBF"/>
    <w:rsid w:val="008356F3"/>
    <w:rsid w:val="00836FBE"/>
    <w:rsid w:val="0083731F"/>
    <w:rsid w:val="00840B72"/>
    <w:rsid w:val="00844D64"/>
    <w:rsid w:val="008456EF"/>
    <w:rsid w:val="008459E9"/>
    <w:rsid w:val="008539C0"/>
    <w:rsid w:val="00857DD4"/>
    <w:rsid w:val="00857E9E"/>
    <w:rsid w:val="00862BA4"/>
    <w:rsid w:val="00864F98"/>
    <w:rsid w:val="008650A0"/>
    <w:rsid w:val="00865B66"/>
    <w:rsid w:val="008718F3"/>
    <w:rsid w:val="00872B05"/>
    <w:rsid w:val="00874CB7"/>
    <w:rsid w:val="00875DBB"/>
    <w:rsid w:val="008761C0"/>
    <w:rsid w:val="0088000D"/>
    <w:rsid w:val="00884B9E"/>
    <w:rsid w:val="008850E8"/>
    <w:rsid w:val="008857E3"/>
    <w:rsid w:val="0088745B"/>
    <w:rsid w:val="00887523"/>
    <w:rsid w:val="008912F0"/>
    <w:rsid w:val="0089462C"/>
    <w:rsid w:val="0089464D"/>
    <w:rsid w:val="008A7811"/>
    <w:rsid w:val="008A78C0"/>
    <w:rsid w:val="008B06D1"/>
    <w:rsid w:val="008B0B52"/>
    <w:rsid w:val="008B1361"/>
    <w:rsid w:val="008B163F"/>
    <w:rsid w:val="008B3480"/>
    <w:rsid w:val="008B429B"/>
    <w:rsid w:val="008B4624"/>
    <w:rsid w:val="008B471F"/>
    <w:rsid w:val="008C18FB"/>
    <w:rsid w:val="008C45F3"/>
    <w:rsid w:val="008C51A6"/>
    <w:rsid w:val="008C651F"/>
    <w:rsid w:val="008D0837"/>
    <w:rsid w:val="008D1DF3"/>
    <w:rsid w:val="008D2433"/>
    <w:rsid w:val="008D29B9"/>
    <w:rsid w:val="008D2BD2"/>
    <w:rsid w:val="008D2F41"/>
    <w:rsid w:val="008D4151"/>
    <w:rsid w:val="008D4A08"/>
    <w:rsid w:val="008D62C5"/>
    <w:rsid w:val="008E0E68"/>
    <w:rsid w:val="008E1113"/>
    <w:rsid w:val="008E195D"/>
    <w:rsid w:val="008E2A57"/>
    <w:rsid w:val="008E652A"/>
    <w:rsid w:val="008E6988"/>
    <w:rsid w:val="008E7EA4"/>
    <w:rsid w:val="008F0653"/>
    <w:rsid w:val="008F29D2"/>
    <w:rsid w:val="008F40EF"/>
    <w:rsid w:val="008F42F7"/>
    <w:rsid w:val="008F5499"/>
    <w:rsid w:val="008F5F38"/>
    <w:rsid w:val="008F660B"/>
    <w:rsid w:val="008F69A1"/>
    <w:rsid w:val="008F740B"/>
    <w:rsid w:val="008F7657"/>
    <w:rsid w:val="00901B06"/>
    <w:rsid w:val="00905253"/>
    <w:rsid w:val="00906B6F"/>
    <w:rsid w:val="00906F0D"/>
    <w:rsid w:val="0091318E"/>
    <w:rsid w:val="00913491"/>
    <w:rsid w:val="00914BE6"/>
    <w:rsid w:val="00915978"/>
    <w:rsid w:val="00916549"/>
    <w:rsid w:val="00917AF4"/>
    <w:rsid w:val="00921CC5"/>
    <w:rsid w:val="00922812"/>
    <w:rsid w:val="00924C89"/>
    <w:rsid w:val="00925153"/>
    <w:rsid w:val="0092544A"/>
    <w:rsid w:val="009316A2"/>
    <w:rsid w:val="0093468B"/>
    <w:rsid w:val="0093710E"/>
    <w:rsid w:val="00940448"/>
    <w:rsid w:val="00942269"/>
    <w:rsid w:val="0094292B"/>
    <w:rsid w:val="0094442E"/>
    <w:rsid w:val="00947A00"/>
    <w:rsid w:val="009502C1"/>
    <w:rsid w:val="00952E0E"/>
    <w:rsid w:val="00956461"/>
    <w:rsid w:val="00956B2D"/>
    <w:rsid w:val="009577E9"/>
    <w:rsid w:val="00966C3B"/>
    <w:rsid w:val="0096751E"/>
    <w:rsid w:val="00972D83"/>
    <w:rsid w:val="00972DCB"/>
    <w:rsid w:val="00972F04"/>
    <w:rsid w:val="00974BA9"/>
    <w:rsid w:val="00975C8D"/>
    <w:rsid w:val="009807E4"/>
    <w:rsid w:val="00980C89"/>
    <w:rsid w:val="00987CC5"/>
    <w:rsid w:val="00987E11"/>
    <w:rsid w:val="00991ACA"/>
    <w:rsid w:val="009940AF"/>
    <w:rsid w:val="009949D5"/>
    <w:rsid w:val="0099677A"/>
    <w:rsid w:val="009A086C"/>
    <w:rsid w:val="009A097F"/>
    <w:rsid w:val="009A210B"/>
    <w:rsid w:val="009A3C29"/>
    <w:rsid w:val="009A705D"/>
    <w:rsid w:val="009B06C9"/>
    <w:rsid w:val="009B0C5F"/>
    <w:rsid w:val="009B3FDC"/>
    <w:rsid w:val="009B4D40"/>
    <w:rsid w:val="009B7B35"/>
    <w:rsid w:val="009C5BC6"/>
    <w:rsid w:val="009C68C2"/>
    <w:rsid w:val="009C7B3B"/>
    <w:rsid w:val="009C7BFB"/>
    <w:rsid w:val="009D2D99"/>
    <w:rsid w:val="009D683A"/>
    <w:rsid w:val="009D7DFC"/>
    <w:rsid w:val="009E1050"/>
    <w:rsid w:val="009E5832"/>
    <w:rsid w:val="009E6030"/>
    <w:rsid w:val="009E638E"/>
    <w:rsid w:val="009F7516"/>
    <w:rsid w:val="00A00F0A"/>
    <w:rsid w:val="00A0215C"/>
    <w:rsid w:val="00A026FB"/>
    <w:rsid w:val="00A02A6E"/>
    <w:rsid w:val="00A06599"/>
    <w:rsid w:val="00A06889"/>
    <w:rsid w:val="00A07AAE"/>
    <w:rsid w:val="00A10539"/>
    <w:rsid w:val="00A136E4"/>
    <w:rsid w:val="00A1480F"/>
    <w:rsid w:val="00A14F47"/>
    <w:rsid w:val="00A15E8E"/>
    <w:rsid w:val="00A17648"/>
    <w:rsid w:val="00A212B6"/>
    <w:rsid w:val="00A2232A"/>
    <w:rsid w:val="00A22812"/>
    <w:rsid w:val="00A2659A"/>
    <w:rsid w:val="00A2717B"/>
    <w:rsid w:val="00A279EB"/>
    <w:rsid w:val="00A31926"/>
    <w:rsid w:val="00A324FA"/>
    <w:rsid w:val="00A32B46"/>
    <w:rsid w:val="00A35AC4"/>
    <w:rsid w:val="00A4022B"/>
    <w:rsid w:val="00A40437"/>
    <w:rsid w:val="00A42458"/>
    <w:rsid w:val="00A43158"/>
    <w:rsid w:val="00A43EC8"/>
    <w:rsid w:val="00A4533E"/>
    <w:rsid w:val="00A45788"/>
    <w:rsid w:val="00A466B5"/>
    <w:rsid w:val="00A51503"/>
    <w:rsid w:val="00A51859"/>
    <w:rsid w:val="00A53A3A"/>
    <w:rsid w:val="00A56082"/>
    <w:rsid w:val="00A5675D"/>
    <w:rsid w:val="00A5718A"/>
    <w:rsid w:val="00A5723B"/>
    <w:rsid w:val="00A601A3"/>
    <w:rsid w:val="00A62D36"/>
    <w:rsid w:val="00A64317"/>
    <w:rsid w:val="00A667E6"/>
    <w:rsid w:val="00A67572"/>
    <w:rsid w:val="00A7287D"/>
    <w:rsid w:val="00A73B6F"/>
    <w:rsid w:val="00A75848"/>
    <w:rsid w:val="00A775FD"/>
    <w:rsid w:val="00A8202F"/>
    <w:rsid w:val="00A82B82"/>
    <w:rsid w:val="00A82C89"/>
    <w:rsid w:val="00A8323F"/>
    <w:rsid w:val="00A832BE"/>
    <w:rsid w:val="00A8567B"/>
    <w:rsid w:val="00A92D5A"/>
    <w:rsid w:val="00A97EB8"/>
    <w:rsid w:val="00AA2560"/>
    <w:rsid w:val="00AA2C87"/>
    <w:rsid w:val="00AA46FF"/>
    <w:rsid w:val="00AA499D"/>
    <w:rsid w:val="00AA730A"/>
    <w:rsid w:val="00AB0545"/>
    <w:rsid w:val="00AB145C"/>
    <w:rsid w:val="00AB3D7B"/>
    <w:rsid w:val="00AB4D30"/>
    <w:rsid w:val="00AB66C1"/>
    <w:rsid w:val="00AC47CD"/>
    <w:rsid w:val="00AC778F"/>
    <w:rsid w:val="00AC7FD1"/>
    <w:rsid w:val="00AD08D5"/>
    <w:rsid w:val="00AD1E3A"/>
    <w:rsid w:val="00AD28C0"/>
    <w:rsid w:val="00AD3552"/>
    <w:rsid w:val="00AD724B"/>
    <w:rsid w:val="00AD72B4"/>
    <w:rsid w:val="00AD77A0"/>
    <w:rsid w:val="00AD78DF"/>
    <w:rsid w:val="00AD7C6B"/>
    <w:rsid w:val="00AE3153"/>
    <w:rsid w:val="00AE3E4F"/>
    <w:rsid w:val="00AE4EA7"/>
    <w:rsid w:val="00AF022D"/>
    <w:rsid w:val="00AF0981"/>
    <w:rsid w:val="00AF0982"/>
    <w:rsid w:val="00AF1205"/>
    <w:rsid w:val="00AF2197"/>
    <w:rsid w:val="00AF25DB"/>
    <w:rsid w:val="00AF59F9"/>
    <w:rsid w:val="00AF72A7"/>
    <w:rsid w:val="00B0005B"/>
    <w:rsid w:val="00B00CE2"/>
    <w:rsid w:val="00B05F02"/>
    <w:rsid w:val="00B1007F"/>
    <w:rsid w:val="00B1093B"/>
    <w:rsid w:val="00B11CB3"/>
    <w:rsid w:val="00B12B9A"/>
    <w:rsid w:val="00B15BC4"/>
    <w:rsid w:val="00B16F5B"/>
    <w:rsid w:val="00B17BEF"/>
    <w:rsid w:val="00B17C78"/>
    <w:rsid w:val="00B17EB3"/>
    <w:rsid w:val="00B22CCE"/>
    <w:rsid w:val="00B23652"/>
    <w:rsid w:val="00B23DB9"/>
    <w:rsid w:val="00B2421F"/>
    <w:rsid w:val="00B26608"/>
    <w:rsid w:val="00B30315"/>
    <w:rsid w:val="00B316C3"/>
    <w:rsid w:val="00B42859"/>
    <w:rsid w:val="00B43503"/>
    <w:rsid w:val="00B45473"/>
    <w:rsid w:val="00B4646F"/>
    <w:rsid w:val="00B46D29"/>
    <w:rsid w:val="00B4789B"/>
    <w:rsid w:val="00B47F41"/>
    <w:rsid w:val="00B500AD"/>
    <w:rsid w:val="00B6064C"/>
    <w:rsid w:val="00B60881"/>
    <w:rsid w:val="00B61811"/>
    <w:rsid w:val="00B658E0"/>
    <w:rsid w:val="00B65C9F"/>
    <w:rsid w:val="00B6613C"/>
    <w:rsid w:val="00B66CB6"/>
    <w:rsid w:val="00B66F41"/>
    <w:rsid w:val="00B67616"/>
    <w:rsid w:val="00B702A4"/>
    <w:rsid w:val="00B70700"/>
    <w:rsid w:val="00B715BE"/>
    <w:rsid w:val="00B73350"/>
    <w:rsid w:val="00B75C79"/>
    <w:rsid w:val="00B77901"/>
    <w:rsid w:val="00B80543"/>
    <w:rsid w:val="00B81DE7"/>
    <w:rsid w:val="00B835C7"/>
    <w:rsid w:val="00B85B62"/>
    <w:rsid w:val="00B860E9"/>
    <w:rsid w:val="00B8749E"/>
    <w:rsid w:val="00B9287D"/>
    <w:rsid w:val="00B93A93"/>
    <w:rsid w:val="00B95585"/>
    <w:rsid w:val="00B95959"/>
    <w:rsid w:val="00B95D7C"/>
    <w:rsid w:val="00BA0C97"/>
    <w:rsid w:val="00BA0F08"/>
    <w:rsid w:val="00BA1863"/>
    <w:rsid w:val="00BA5C4B"/>
    <w:rsid w:val="00BA655C"/>
    <w:rsid w:val="00BA65E3"/>
    <w:rsid w:val="00BB38F1"/>
    <w:rsid w:val="00BC22D5"/>
    <w:rsid w:val="00BC735F"/>
    <w:rsid w:val="00BC7F43"/>
    <w:rsid w:val="00BD096A"/>
    <w:rsid w:val="00BD0DE9"/>
    <w:rsid w:val="00BD3223"/>
    <w:rsid w:val="00BD5A52"/>
    <w:rsid w:val="00BE140F"/>
    <w:rsid w:val="00BE2946"/>
    <w:rsid w:val="00BE2A90"/>
    <w:rsid w:val="00BE343A"/>
    <w:rsid w:val="00BE68C8"/>
    <w:rsid w:val="00BF189C"/>
    <w:rsid w:val="00BF2CA1"/>
    <w:rsid w:val="00BF3688"/>
    <w:rsid w:val="00BF49D0"/>
    <w:rsid w:val="00C015B2"/>
    <w:rsid w:val="00C03C9C"/>
    <w:rsid w:val="00C045A7"/>
    <w:rsid w:val="00C04A43"/>
    <w:rsid w:val="00C079C4"/>
    <w:rsid w:val="00C13D8B"/>
    <w:rsid w:val="00C141C1"/>
    <w:rsid w:val="00C151A5"/>
    <w:rsid w:val="00C235EA"/>
    <w:rsid w:val="00C23AEB"/>
    <w:rsid w:val="00C25C0F"/>
    <w:rsid w:val="00C33EA5"/>
    <w:rsid w:val="00C3421B"/>
    <w:rsid w:val="00C37647"/>
    <w:rsid w:val="00C41DCF"/>
    <w:rsid w:val="00C4274C"/>
    <w:rsid w:val="00C43EF2"/>
    <w:rsid w:val="00C44C0C"/>
    <w:rsid w:val="00C47CD1"/>
    <w:rsid w:val="00C50123"/>
    <w:rsid w:val="00C60EF4"/>
    <w:rsid w:val="00C63A97"/>
    <w:rsid w:val="00C6594B"/>
    <w:rsid w:val="00C6616F"/>
    <w:rsid w:val="00C67719"/>
    <w:rsid w:val="00C679C9"/>
    <w:rsid w:val="00C72533"/>
    <w:rsid w:val="00C73455"/>
    <w:rsid w:val="00C73463"/>
    <w:rsid w:val="00C749C4"/>
    <w:rsid w:val="00C74FC6"/>
    <w:rsid w:val="00C75344"/>
    <w:rsid w:val="00C753B2"/>
    <w:rsid w:val="00C75F3D"/>
    <w:rsid w:val="00C81D6A"/>
    <w:rsid w:val="00C85C74"/>
    <w:rsid w:val="00C86400"/>
    <w:rsid w:val="00C921DB"/>
    <w:rsid w:val="00C926D0"/>
    <w:rsid w:val="00C93A62"/>
    <w:rsid w:val="00C94E57"/>
    <w:rsid w:val="00C951F9"/>
    <w:rsid w:val="00C9656E"/>
    <w:rsid w:val="00CA25FC"/>
    <w:rsid w:val="00CA3609"/>
    <w:rsid w:val="00CA4295"/>
    <w:rsid w:val="00CB058B"/>
    <w:rsid w:val="00CB3488"/>
    <w:rsid w:val="00CB4A57"/>
    <w:rsid w:val="00CB6087"/>
    <w:rsid w:val="00CB72A1"/>
    <w:rsid w:val="00CB7457"/>
    <w:rsid w:val="00CC16A2"/>
    <w:rsid w:val="00CC37D2"/>
    <w:rsid w:val="00CC433A"/>
    <w:rsid w:val="00CC7C26"/>
    <w:rsid w:val="00CD3041"/>
    <w:rsid w:val="00CD32B2"/>
    <w:rsid w:val="00CE1D60"/>
    <w:rsid w:val="00CE39D8"/>
    <w:rsid w:val="00CE39F6"/>
    <w:rsid w:val="00CF040E"/>
    <w:rsid w:val="00CF0EFF"/>
    <w:rsid w:val="00CF1565"/>
    <w:rsid w:val="00CF4FB9"/>
    <w:rsid w:val="00CF6E71"/>
    <w:rsid w:val="00CF70CE"/>
    <w:rsid w:val="00CF77A9"/>
    <w:rsid w:val="00D060D9"/>
    <w:rsid w:val="00D1011F"/>
    <w:rsid w:val="00D14A90"/>
    <w:rsid w:val="00D171F9"/>
    <w:rsid w:val="00D17BD7"/>
    <w:rsid w:val="00D221A0"/>
    <w:rsid w:val="00D241DA"/>
    <w:rsid w:val="00D242FD"/>
    <w:rsid w:val="00D2732B"/>
    <w:rsid w:val="00D27C80"/>
    <w:rsid w:val="00D31288"/>
    <w:rsid w:val="00D32866"/>
    <w:rsid w:val="00D32D70"/>
    <w:rsid w:val="00D35688"/>
    <w:rsid w:val="00D46427"/>
    <w:rsid w:val="00D47A53"/>
    <w:rsid w:val="00D47E15"/>
    <w:rsid w:val="00D535C7"/>
    <w:rsid w:val="00D64438"/>
    <w:rsid w:val="00D701B3"/>
    <w:rsid w:val="00D7108A"/>
    <w:rsid w:val="00D71AA8"/>
    <w:rsid w:val="00D7433F"/>
    <w:rsid w:val="00D744CC"/>
    <w:rsid w:val="00D74FA4"/>
    <w:rsid w:val="00D80115"/>
    <w:rsid w:val="00D83250"/>
    <w:rsid w:val="00D833BB"/>
    <w:rsid w:val="00D8478C"/>
    <w:rsid w:val="00D84F05"/>
    <w:rsid w:val="00D87F08"/>
    <w:rsid w:val="00D919C1"/>
    <w:rsid w:val="00D93493"/>
    <w:rsid w:val="00D95070"/>
    <w:rsid w:val="00D97670"/>
    <w:rsid w:val="00DA27B1"/>
    <w:rsid w:val="00DA2FCC"/>
    <w:rsid w:val="00DA3307"/>
    <w:rsid w:val="00DA3B52"/>
    <w:rsid w:val="00DA6C70"/>
    <w:rsid w:val="00DA6F50"/>
    <w:rsid w:val="00DA7916"/>
    <w:rsid w:val="00DB4F64"/>
    <w:rsid w:val="00DC2135"/>
    <w:rsid w:val="00DC3A31"/>
    <w:rsid w:val="00DC4627"/>
    <w:rsid w:val="00DC6DBE"/>
    <w:rsid w:val="00DD22CD"/>
    <w:rsid w:val="00DE0491"/>
    <w:rsid w:val="00DE0878"/>
    <w:rsid w:val="00DE3715"/>
    <w:rsid w:val="00DE3C57"/>
    <w:rsid w:val="00DE55C6"/>
    <w:rsid w:val="00DE5D87"/>
    <w:rsid w:val="00DE6C07"/>
    <w:rsid w:val="00DF00AD"/>
    <w:rsid w:val="00DF097B"/>
    <w:rsid w:val="00DF185E"/>
    <w:rsid w:val="00DF49F6"/>
    <w:rsid w:val="00DF4A38"/>
    <w:rsid w:val="00DF627B"/>
    <w:rsid w:val="00DF63E6"/>
    <w:rsid w:val="00DF6672"/>
    <w:rsid w:val="00E005F2"/>
    <w:rsid w:val="00E006DE"/>
    <w:rsid w:val="00E05797"/>
    <w:rsid w:val="00E06110"/>
    <w:rsid w:val="00E07928"/>
    <w:rsid w:val="00E07CE2"/>
    <w:rsid w:val="00E104E4"/>
    <w:rsid w:val="00E12DFE"/>
    <w:rsid w:val="00E162F5"/>
    <w:rsid w:val="00E21D55"/>
    <w:rsid w:val="00E21F97"/>
    <w:rsid w:val="00E228CC"/>
    <w:rsid w:val="00E22E1B"/>
    <w:rsid w:val="00E23950"/>
    <w:rsid w:val="00E305EA"/>
    <w:rsid w:val="00E30B95"/>
    <w:rsid w:val="00E30FD0"/>
    <w:rsid w:val="00E3106A"/>
    <w:rsid w:val="00E31981"/>
    <w:rsid w:val="00E32609"/>
    <w:rsid w:val="00E34C66"/>
    <w:rsid w:val="00E361CD"/>
    <w:rsid w:val="00E36523"/>
    <w:rsid w:val="00E40CE0"/>
    <w:rsid w:val="00E4797B"/>
    <w:rsid w:val="00E51DEB"/>
    <w:rsid w:val="00E54AF0"/>
    <w:rsid w:val="00E55937"/>
    <w:rsid w:val="00E56F60"/>
    <w:rsid w:val="00E60055"/>
    <w:rsid w:val="00E61641"/>
    <w:rsid w:val="00E617CD"/>
    <w:rsid w:val="00E62672"/>
    <w:rsid w:val="00E62AC9"/>
    <w:rsid w:val="00E62FAB"/>
    <w:rsid w:val="00E63ABA"/>
    <w:rsid w:val="00E64BA9"/>
    <w:rsid w:val="00E6582E"/>
    <w:rsid w:val="00E65A15"/>
    <w:rsid w:val="00E706A0"/>
    <w:rsid w:val="00E7291A"/>
    <w:rsid w:val="00E73E52"/>
    <w:rsid w:val="00E75CAD"/>
    <w:rsid w:val="00E760BA"/>
    <w:rsid w:val="00E81372"/>
    <w:rsid w:val="00E84CBA"/>
    <w:rsid w:val="00E85352"/>
    <w:rsid w:val="00E90A9E"/>
    <w:rsid w:val="00E914F0"/>
    <w:rsid w:val="00E91ABB"/>
    <w:rsid w:val="00E963A8"/>
    <w:rsid w:val="00E9702F"/>
    <w:rsid w:val="00EA30E2"/>
    <w:rsid w:val="00EA411D"/>
    <w:rsid w:val="00EB0625"/>
    <w:rsid w:val="00EB2A0F"/>
    <w:rsid w:val="00EB5212"/>
    <w:rsid w:val="00EB7E2E"/>
    <w:rsid w:val="00EC1C05"/>
    <w:rsid w:val="00EC28A2"/>
    <w:rsid w:val="00EC338A"/>
    <w:rsid w:val="00EC4C9F"/>
    <w:rsid w:val="00EC6532"/>
    <w:rsid w:val="00EC6D2A"/>
    <w:rsid w:val="00EC7599"/>
    <w:rsid w:val="00ED0B84"/>
    <w:rsid w:val="00ED0E36"/>
    <w:rsid w:val="00ED1CD0"/>
    <w:rsid w:val="00ED4370"/>
    <w:rsid w:val="00ED4DBE"/>
    <w:rsid w:val="00ED4FA4"/>
    <w:rsid w:val="00ED5998"/>
    <w:rsid w:val="00ED6C2D"/>
    <w:rsid w:val="00EE1607"/>
    <w:rsid w:val="00EE38DC"/>
    <w:rsid w:val="00EE391A"/>
    <w:rsid w:val="00EE3B95"/>
    <w:rsid w:val="00EE4678"/>
    <w:rsid w:val="00EF0417"/>
    <w:rsid w:val="00EF06B8"/>
    <w:rsid w:val="00EF45D1"/>
    <w:rsid w:val="00EF54BB"/>
    <w:rsid w:val="00EF5568"/>
    <w:rsid w:val="00EF6158"/>
    <w:rsid w:val="00EF71C3"/>
    <w:rsid w:val="00EF75A9"/>
    <w:rsid w:val="00F00E29"/>
    <w:rsid w:val="00F02E3E"/>
    <w:rsid w:val="00F02F58"/>
    <w:rsid w:val="00F05180"/>
    <w:rsid w:val="00F05ACB"/>
    <w:rsid w:val="00F11936"/>
    <w:rsid w:val="00F16305"/>
    <w:rsid w:val="00F17A82"/>
    <w:rsid w:val="00F31120"/>
    <w:rsid w:val="00F31D03"/>
    <w:rsid w:val="00F32291"/>
    <w:rsid w:val="00F4061D"/>
    <w:rsid w:val="00F40667"/>
    <w:rsid w:val="00F45AF8"/>
    <w:rsid w:val="00F524F9"/>
    <w:rsid w:val="00F54C3B"/>
    <w:rsid w:val="00F5568D"/>
    <w:rsid w:val="00F56939"/>
    <w:rsid w:val="00F56A69"/>
    <w:rsid w:val="00F56CC7"/>
    <w:rsid w:val="00F67F13"/>
    <w:rsid w:val="00F7175C"/>
    <w:rsid w:val="00F72E9F"/>
    <w:rsid w:val="00F75C63"/>
    <w:rsid w:val="00F8005C"/>
    <w:rsid w:val="00F80D52"/>
    <w:rsid w:val="00F80EE8"/>
    <w:rsid w:val="00F82FC3"/>
    <w:rsid w:val="00F867DB"/>
    <w:rsid w:val="00F960CE"/>
    <w:rsid w:val="00FA29C3"/>
    <w:rsid w:val="00FA5A1D"/>
    <w:rsid w:val="00FA5D21"/>
    <w:rsid w:val="00FA6338"/>
    <w:rsid w:val="00FA6C51"/>
    <w:rsid w:val="00FB07E2"/>
    <w:rsid w:val="00FB1FD6"/>
    <w:rsid w:val="00FB61BD"/>
    <w:rsid w:val="00FB7189"/>
    <w:rsid w:val="00FC341D"/>
    <w:rsid w:val="00FC45EB"/>
    <w:rsid w:val="00FD0F19"/>
    <w:rsid w:val="00FD1C2F"/>
    <w:rsid w:val="00FD5700"/>
    <w:rsid w:val="00FD6C89"/>
    <w:rsid w:val="00FD78B2"/>
    <w:rsid w:val="00FE0C47"/>
    <w:rsid w:val="00FE495E"/>
    <w:rsid w:val="00FE6427"/>
    <w:rsid w:val="00FE7E57"/>
    <w:rsid w:val="00FF10BC"/>
    <w:rsid w:val="00FF338D"/>
    <w:rsid w:val="00FF5FA2"/>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E5B353"/>
  <w15:docId w15:val="{006AB5CD-FD86-47DC-A60C-06ADB9A5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DB7"/>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character" w:customStyle="1" w:styleId="PrrafodelistaCar">
    <w:name w:val="Párrafo de lista Car"/>
    <w:basedOn w:val="Fuentedeprrafopredeter"/>
    <w:link w:val="Prrafodelista"/>
    <w:uiPriority w:val="34"/>
    <w:locked/>
    <w:rsid w:val="007F1DB4"/>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paragraph" w:styleId="TDC1">
    <w:name w:val="toc 1"/>
    <w:basedOn w:val="Normal"/>
    <w:next w:val="Normal"/>
    <w:autoRedefine/>
    <w:uiPriority w:val="39"/>
    <w:unhideWhenUsed/>
    <w:rsid w:val="00EC28A2"/>
    <w:pPr>
      <w:tabs>
        <w:tab w:val="left" w:pos="440"/>
        <w:tab w:val="right" w:leader="dot" w:pos="8647"/>
      </w:tabs>
      <w:spacing w:after="100"/>
      <w:ind w:right="191"/>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3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paragraph" w:styleId="Revisin">
    <w:name w:val="Revision"/>
    <w:hidden/>
    <w:uiPriority w:val="99"/>
    <w:semiHidden/>
    <w:rsid w:val="00B93A93"/>
    <w:pPr>
      <w:spacing w:after="0" w:line="240" w:lineRule="auto"/>
    </w:pPr>
  </w:style>
  <w:style w:type="character" w:styleId="Mencinsinresolver">
    <w:name w:val="Unresolved Mention"/>
    <w:basedOn w:val="Fuentedeprrafopredeter"/>
    <w:uiPriority w:val="99"/>
    <w:semiHidden/>
    <w:unhideWhenUsed/>
    <w:rsid w:val="004B7E1B"/>
    <w:rPr>
      <w:color w:val="605E5C"/>
      <w:shd w:val="clear" w:color="auto" w:fill="E1DFDD"/>
    </w:rPr>
  </w:style>
  <w:style w:type="paragraph" w:styleId="Textonotapie">
    <w:name w:val="footnote text"/>
    <w:aliases w:val=" Char,Char"/>
    <w:basedOn w:val="Normal"/>
    <w:link w:val="TextonotapieCar"/>
    <w:uiPriority w:val="99"/>
    <w:unhideWhenUsed/>
    <w:rsid w:val="00D47A53"/>
    <w:pPr>
      <w:spacing w:after="0" w:line="240" w:lineRule="auto"/>
    </w:pPr>
    <w:rPr>
      <w:sz w:val="20"/>
      <w:szCs w:val="20"/>
    </w:rPr>
  </w:style>
  <w:style w:type="character" w:customStyle="1" w:styleId="TextonotapieCar">
    <w:name w:val="Texto nota pie Car"/>
    <w:aliases w:val=" Char Car,Char Car"/>
    <w:basedOn w:val="Fuentedeprrafopredeter"/>
    <w:link w:val="Textonotapie"/>
    <w:uiPriority w:val="99"/>
    <w:rsid w:val="00D47A53"/>
    <w:rPr>
      <w:sz w:val="20"/>
      <w:szCs w:val="20"/>
    </w:rPr>
  </w:style>
  <w:style w:type="character" w:styleId="Refdenotaalpie">
    <w:name w:val="footnote reference"/>
    <w:basedOn w:val="Fuentedeprrafopredeter"/>
    <w:unhideWhenUsed/>
    <w:rsid w:val="00D47A53"/>
    <w:rPr>
      <w:vertAlign w:val="superscript"/>
    </w:rPr>
  </w:style>
  <w:style w:type="paragraph" w:styleId="Textosinformato">
    <w:name w:val="Plain Text"/>
    <w:basedOn w:val="Normal"/>
    <w:link w:val="TextosinformatoCar"/>
    <w:uiPriority w:val="99"/>
    <w:unhideWhenUsed/>
    <w:rsid w:val="00727D5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727D5F"/>
    <w:rPr>
      <w:rFonts w:ascii="Consolas" w:hAnsi="Consolas"/>
      <w:sz w:val="21"/>
      <w:szCs w:val="21"/>
    </w:rPr>
  </w:style>
  <w:style w:type="paragraph" w:styleId="NormalWeb">
    <w:name w:val="Normal (Web)"/>
    <w:basedOn w:val="Normal"/>
    <w:uiPriority w:val="99"/>
    <w:semiHidden/>
    <w:unhideWhenUsed/>
    <w:rsid w:val="00595376"/>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25115">
      <w:bodyDiv w:val="1"/>
      <w:marLeft w:val="0"/>
      <w:marRight w:val="0"/>
      <w:marTop w:val="0"/>
      <w:marBottom w:val="0"/>
      <w:divBdr>
        <w:top w:val="none" w:sz="0" w:space="0" w:color="auto"/>
        <w:left w:val="none" w:sz="0" w:space="0" w:color="auto"/>
        <w:bottom w:val="none" w:sz="0" w:space="0" w:color="auto"/>
        <w:right w:val="none" w:sz="0" w:space="0" w:color="auto"/>
      </w:divBdr>
    </w:div>
    <w:div w:id="382145017">
      <w:bodyDiv w:val="1"/>
      <w:marLeft w:val="0"/>
      <w:marRight w:val="0"/>
      <w:marTop w:val="0"/>
      <w:marBottom w:val="0"/>
      <w:divBdr>
        <w:top w:val="none" w:sz="0" w:space="0" w:color="auto"/>
        <w:left w:val="none" w:sz="0" w:space="0" w:color="auto"/>
        <w:bottom w:val="none" w:sz="0" w:space="0" w:color="auto"/>
        <w:right w:val="none" w:sz="0" w:space="0" w:color="auto"/>
      </w:divBdr>
    </w:div>
    <w:div w:id="789468936">
      <w:bodyDiv w:val="1"/>
      <w:marLeft w:val="0"/>
      <w:marRight w:val="0"/>
      <w:marTop w:val="0"/>
      <w:marBottom w:val="0"/>
      <w:divBdr>
        <w:top w:val="none" w:sz="0" w:space="0" w:color="auto"/>
        <w:left w:val="none" w:sz="0" w:space="0" w:color="auto"/>
        <w:bottom w:val="none" w:sz="0" w:space="0" w:color="auto"/>
        <w:right w:val="none" w:sz="0" w:space="0" w:color="auto"/>
      </w:divBdr>
    </w:div>
    <w:div w:id="952326891">
      <w:bodyDiv w:val="1"/>
      <w:marLeft w:val="0"/>
      <w:marRight w:val="0"/>
      <w:marTop w:val="0"/>
      <w:marBottom w:val="0"/>
      <w:divBdr>
        <w:top w:val="none" w:sz="0" w:space="0" w:color="auto"/>
        <w:left w:val="none" w:sz="0" w:space="0" w:color="auto"/>
        <w:bottom w:val="none" w:sz="0" w:space="0" w:color="auto"/>
        <w:right w:val="none" w:sz="0" w:space="0" w:color="auto"/>
      </w:divBdr>
    </w:div>
    <w:div w:id="1156609089">
      <w:bodyDiv w:val="1"/>
      <w:marLeft w:val="0"/>
      <w:marRight w:val="0"/>
      <w:marTop w:val="0"/>
      <w:marBottom w:val="0"/>
      <w:divBdr>
        <w:top w:val="none" w:sz="0" w:space="0" w:color="auto"/>
        <w:left w:val="none" w:sz="0" w:space="0" w:color="auto"/>
        <w:bottom w:val="none" w:sz="0" w:space="0" w:color="auto"/>
        <w:right w:val="none" w:sz="0" w:space="0" w:color="auto"/>
      </w:divBdr>
    </w:div>
    <w:div w:id="1187406449">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613976388">
      <w:bodyDiv w:val="1"/>
      <w:marLeft w:val="0"/>
      <w:marRight w:val="0"/>
      <w:marTop w:val="0"/>
      <w:marBottom w:val="0"/>
      <w:divBdr>
        <w:top w:val="none" w:sz="0" w:space="0" w:color="auto"/>
        <w:left w:val="none" w:sz="0" w:space="0" w:color="auto"/>
        <w:bottom w:val="none" w:sz="0" w:space="0" w:color="auto"/>
        <w:right w:val="none" w:sz="0" w:space="0" w:color="auto"/>
      </w:divBdr>
    </w:div>
    <w:div w:id="1727680020">
      <w:bodyDiv w:val="1"/>
      <w:marLeft w:val="0"/>
      <w:marRight w:val="0"/>
      <w:marTop w:val="0"/>
      <w:marBottom w:val="0"/>
      <w:divBdr>
        <w:top w:val="none" w:sz="0" w:space="0" w:color="auto"/>
        <w:left w:val="none" w:sz="0" w:space="0" w:color="auto"/>
        <w:bottom w:val="none" w:sz="0" w:space="0" w:color="auto"/>
        <w:right w:val="none" w:sz="0" w:space="0" w:color="auto"/>
      </w:divBdr>
    </w:div>
    <w:div w:id="1887444065">
      <w:bodyDiv w:val="1"/>
      <w:marLeft w:val="0"/>
      <w:marRight w:val="0"/>
      <w:marTop w:val="0"/>
      <w:marBottom w:val="0"/>
      <w:divBdr>
        <w:top w:val="none" w:sz="0" w:space="0" w:color="auto"/>
        <w:left w:val="none" w:sz="0" w:space="0" w:color="auto"/>
        <w:bottom w:val="none" w:sz="0" w:space="0" w:color="auto"/>
        <w:right w:val="none" w:sz="0" w:space="0" w:color="auto"/>
      </w:divBdr>
    </w:div>
    <w:div w:id="1977029037">
      <w:bodyDiv w:val="1"/>
      <w:marLeft w:val="0"/>
      <w:marRight w:val="0"/>
      <w:marTop w:val="0"/>
      <w:marBottom w:val="0"/>
      <w:divBdr>
        <w:top w:val="none" w:sz="0" w:space="0" w:color="auto"/>
        <w:left w:val="none" w:sz="0" w:space="0" w:color="auto"/>
        <w:bottom w:val="none" w:sz="0" w:space="0" w:color="auto"/>
        <w:right w:val="none" w:sz="0" w:space="0" w:color="auto"/>
      </w:divBdr>
    </w:div>
    <w:div w:id="20413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cop.go.cr/moduloPcont/pcont/ctract/es/CE_CEJ_ESQ001.js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Hoja1!$D$6</c:f>
              <c:strCache>
                <c:ptCount val="1"/>
                <c:pt idx="0">
                  <c:v>2020</c:v>
                </c:pt>
              </c:strCache>
            </c:strRef>
          </c:tx>
          <c:spPr>
            <a:solidFill>
              <a:srgbClr val="5B9BD5">
                <a:lumMod val="50000"/>
              </a:srgbClr>
            </a:solidFill>
            <a:ln>
              <a:noFill/>
            </a:ln>
            <a:effectLst/>
          </c:spPr>
          <c:invertIfNegative val="0"/>
          <c:cat>
            <c:strRef>
              <c:f>Hoja1!$E$5:$L$5</c:f>
              <c:strCache>
                <c:ptCount val="8"/>
                <c:pt idx="0">
                  <c:v>LICITACIÓN PÚBLICA NACIONAL</c:v>
                </c:pt>
                <c:pt idx="1">
                  <c:v>LICITACIÓN PÚBLICA INTERNACIONAL</c:v>
                </c:pt>
                <c:pt idx="2">
                  <c:v>LICITACIÓN ABREVIADA</c:v>
                </c:pt>
                <c:pt idx="3">
                  <c:v>PROCEDIMIENTO POR PRINCIPIO</c:v>
                </c:pt>
                <c:pt idx="4">
                  <c:v>CONTRATACIÓN DIRECTA</c:v>
                </c:pt>
                <c:pt idx="5">
                  <c:v>CONTRATACIÓN ESPECIAL</c:v>
                </c:pt>
                <c:pt idx="6">
                  <c:v>REMATE</c:v>
                </c:pt>
                <c:pt idx="7">
                  <c:v>TOTAL</c:v>
                </c:pt>
              </c:strCache>
            </c:strRef>
          </c:cat>
          <c:val>
            <c:numRef>
              <c:f>Hoja1!$E$6:$L$6</c:f>
              <c:numCache>
                <c:formatCode>General</c:formatCode>
                <c:ptCount val="8"/>
                <c:pt idx="0">
                  <c:v>9</c:v>
                </c:pt>
                <c:pt idx="1">
                  <c:v>0</c:v>
                </c:pt>
                <c:pt idx="2">
                  <c:v>5</c:v>
                </c:pt>
                <c:pt idx="3">
                  <c:v>0</c:v>
                </c:pt>
                <c:pt idx="4">
                  <c:v>86</c:v>
                </c:pt>
                <c:pt idx="5">
                  <c:v>0</c:v>
                </c:pt>
                <c:pt idx="6">
                  <c:v>0</c:v>
                </c:pt>
                <c:pt idx="7">
                  <c:v>100</c:v>
                </c:pt>
              </c:numCache>
            </c:numRef>
          </c:val>
          <c:extLst>
            <c:ext xmlns:c16="http://schemas.microsoft.com/office/drawing/2014/chart" uri="{C3380CC4-5D6E-409C-BE32-E72D297353CC}">
              <c16:uniqueId val="{00000000-15A7-447A-91EA-E5119186A87F}"/>
            </c:ext>
          </c:extLst>
        </c:ser>
        <c:ser>
          <c:idx val="1"/>
          <c:order val="1"/>
          <c:tx>
            <c:strRef>
              <c:f>Hoja1!$D$7</c:f>
              <c:strCache>
                <c:ptCount val="1"/>
                <c:pt idx="0">
                  <c:v>2021</c:v>
                </c:pt>
              </c:strCache>
            </c:strRef>
          </c:tx>
          <c:spPr>
            <a:solidFill>
              <a:schemeClr val="accent2"/>
            </a:solidFill>
            <a:ln>
              <a:noFill/>
            </a:ln>
            <a:effectLst/>
          </c:spPr>
          <c:invertIfNegative val="0"/>
          <c:cat>
            <c:strRef>
              <c:f>Hoja1!$E$5:$L$5</c:f>
              <c:strCache>
                <c:ptCount val="8"/>
                <c:pt idx="0">
                  <c:v>LICITACIÓN PÚBLICA NACIONAL</c:v>
                </c:pt>
                <c:pt idx="1">
                  <c:v>LICITACIÓN PÚBLICA INTERNACIONAL</c:v>
                </c:pt>
                <c:pt idx="2">
                  <c:v>LICITACIÓN ABREVIADA</c:v>
                </c:pt>
                <c:pt idx="3">
                  <c:v>PROCEDIMIENTO POR PRINCIPIO</c:v>
                </c:pt>
                <c:pt idx="4">
                  <c:v>CONTRATACIÓN DIRECTA</c:v>
                </c:pt>
                <c:pt idx="5">
                  <c:v>CONTRATACIÓN ESPECIAL</c:v>
                </c:pt>
                <c:pt idx="6">
                  <c:v>REMATE</c:v>
                </c:pt>
                <c:pt idx="7">
                  <c:v>TOTAL</c:v>
                </c:pt>
              </c:strCache>
            </c:strRef>
          </c:cat>
          <c:val>
            <c:numRef>
              <c:f>Hoja1!$E$7:$L$7</c:f>
              <c:numCache>
                <c:formatCode>General</c:formatCode>
                <c:ptCount val="8"/>
                <c:pt idx="0">
                  <c:v>1</c:v>
                </c:pt>
                <c:pt idx="1">
                  <c:v>0</c:v>
                </c:pt>
                <c:pt idx="2">
                  <c:v>8</c:v>
                </c:pt>
                <c:pt idx="3">
                  <c:v>0</c:v>
                </c:pt>
                <c:pt idx="4">
                  <c:v>60</c:v>
                </c:pt>
                <c:pt idx="5">
                  <c:v>0</c:v>
                </c:pt>
                <c:pt idx="6">
                  <c:v>37</c:v>
                </c:pt>
                <c:pt idx="7">
                  <c:v>106</c:v>
                </c:pt>
              </c:numCache>
            </c:numRef>
          </c:val>
          <c:extLst>
            <c:ext xmlns:c16="http://schemas.microsoft.com/office/drawing/2014/chart" uri="{C3380CC4-5D6E-409C-BE32-E72D297353CC}">
              <c16:uniqueId val="{00000001-15A7-447A-91EA-E5119186A87F}"/>
            </c:ext>
          </c:extLst>
        </c:ser>
        <c:dLbls>
          <c:showLegendKey val="0"/>
          <c:showVal val="0"/>
          <c:showCatName val="0"/>
          <c:showSerName val="0"/>
          <c:showPercent val="0"/>
          <c:showBubbleSize val="0"/>
        </c:dLbls>
        <c:gapWidth val="150"/>
        <c:axId val="1973467359"/>
        <c:axId val="1976948271"/>
      </c:barChart>
      <c:catAx>
        <c:axId val="1973467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976948271"/>
        <c:crosses val="autoZero"/>
        <c:auto val="1"/>
        <c:lblAlgn val="ctr"/>
        <c:lblOffset val="100"/>
        <c:noMultiLvlLbl val="0"/>
      </c:catAx>
      <c:valAx>
        <c:axId val="19769482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97346735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80" b="0" i="0" u="none" strike="noStrike" kern="1200" baseline="0">
                <a:solidFill>
                  <a:schemeClr val="tx1">
                    <a:lumMod val="65000"/>
                    <a:lumOff val="35000"/>
                  </a:schemeClr>
                </a:solidFill>
                <a:latin typeface="+mn-lt"/>
                <a:ea typeface="+mn-ea"/>
                <a:cs typeface="+mn-cs"/>
              </a:defRPr>
            </a:pPr>
            <a:endParaRPr lang="es-C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1E01A43BF32749B0A3470304B0CAAC" ma:contentTypeVersion="14" ma:contentTypeDescription="Crear nuevo documento." ma:contentTypeScope="" ma:versionID="60e5c2d678c4c895fc508ed1b9fc2c3b">
  <xsd:schema xmlns:xsd="http://www.w3.org/2001/XMLSchema" xmlns:xs="http://www.w3.org/2001/XMLSchema" xmlns:p="http://schemas.microsoft.com/office/2006/metadata/properties" xmlns:ns3="5f071007-9bc2-41de-b106-c9bc8b5cda9e" xmlns:ns4="83ffdb27-927d-466f-b221-057ccfbb93f7" targetNamespace="http://schemas.microsoft.com/office/2006/metadata/properties" ma:root="true" ma:fieldsID="1eafc04fccd774fff6397141243fafb7" ns3:_="" ns4:_="">
    <xsd:import namespace="5f071007-9bc2-41de-b106-c9bc8b5cda9e"/>
    <xsd:import namespace="83ffdb27-927d-466f-b221-057ccfbb93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71007-9bc2-41de-b106-c9bc8b5cd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fdb27-927d-466f-b221-057ccfbb93f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DA7D-1EE2-432F-9874-C0D79D80B934}">
  <ds:schemaRefs>
    <ds:schemaRef ds:uri="http://schemas.microsoft.com/office/2006/metadata/properties"/>
    <ds:schemaRef ds:uri="83ffdb27-927d-466f-b221-057ccfbb93f7"/>
    <ds:schemaRef ds:uri="http://schemas.microsoft.com/office/infopath/2007/PartnerControls"/>
    <ds:schemaRef ds:uri="http://schemas.openxmlformats.org/package/2006/metadata/core-properties"/>
    <ds:schemaRef ds:uri="http://purl.org/dc/dcmitype/"/>
    <ds:schemaRef ds:uri="5f071007-9bc2-41de-b106-c9bc8b5cda9e"/>
    <ds:schemaRef ds:uri="http://purl.org/dc/elements/1.1/"/>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3.xml><?xml version="1.0" encoding="utf-8"?>
<ds:datastoreItem xmlns:ds="http://schemas.openxmlformats.org/officeDocument/2006/customXml" ds:itemID="{D3A2C6D8-A680-4C23-BFBC-55012611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71007-9bc2-41de-b106-c9bc8b5cda9e"/>
    <ds:schemaRef ds:uri="83ffdb27-927d-466f-b221-057ccfbb9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0DFAD-CC56-4D22-BE26-BE2BB888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4135</Words>
  <Characters>22745</Characters>
  <Application>Microsoft Office Word</Application>
  <DocSecurity>4</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Estefanie Jimenez Mendez</dc:creator>
  <cp:lastModifiedBy>Xinia Rebeca Lopez Corella</cp:lastModifiedBy>
  <cp:revision>2</cp:revision>
  <cp:lastPrinted>2022-07-11T17:45:00Z</cp:lastPrinted>
  <dcterms:created xsi:type="dcterms:W3CDTF">2022-07-11T19:01:00Z</dcterms:created>
  <dcterms:modified xsi:type="dcterms:W3CDTF">2022-07-11T19:01:00Z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0x0101004E1E01A43BF32749B0A3470304B0CAAC</vt:lpwstr>
  </property>
</Properties>
</file>