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1" w:name="_Toc402340235" w:displacedByCustomXml="prev"/>
        <w:bookmarkEnd w:id="1" w:displacedByCustomXml="prev"/>
        <w:bookmarkStart w:id="2" w:name="_Toc402340236" w:displacedByCustomXml="prev"/>
        <w:bookmarkEnd w:id="2" w:displacedByCustomXml="prev"/>
        <w:bookmarkStart w:id="3" w:name="_Toc511035212" w:displacedByCustomXml="prev"/>
        <w:p w14:paraId="5BB83DF2" w14:textId="4C73514D" w:rsidR="0055222A" w:rsidRPr="0043627B" w:rsidRDefault="003B3B5E" w:rsidP="006C7F40">
          <w:pPr>
            <w:contextualSpacing/>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58241" behindDoc="0" locked="0" layoutInCell="1" allowOverlap="1" wp14:anchorId="6E48D894" wp14:editId="38EA5A2C">
                    <wp:simplePos x="0" y="0"/>
                    <wp:positionH relativeFrom="column">
                      <wp:posOffset>114399</wp:posOffset>
                    </wp:positionH>
                    <wp:positionV relativeFrom="paragraph">
                      <wp:posOffset>2886849</wp:posOffset>
                    </wp:positionV>
                    <wp:extent cx="6324600" cy="352546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24600" cy="3525462"/>
                            </a:xfrm>
                            <a:prstGeom prst="rect">
                              <a:avLst/>
                            </a:prstGeom>
                            <a:noFill/>
                            <a:ln w="6350">
                              <a:noFill/>
                            </a:ln>
                          </wps:spPr>
                          <wps:txbx>
                            <w:txbxContent>
                              <w:p w14:paraId="141E0190" w14:textId="5619C4C4" w:rsidR="001505D4" w:rsidRPr="003C7BE7" w:rsidRDefault="001505D4" w:rsidP="00AD7C6B">
                                <w:pPr>
                                  <w:jc w:val="right"/>
                                  <w:rPr>
                                    <w:rFonts w:ascii="Arial" w:hAnsi="Arial" w:cs="Arial"/>
                                    <w:color w:val="FFFFFF" w:themeColor="background1"/>
                                    <w:sz w:val="80"/>
                                    <w:szCs w:val="80"/>
                                  </w:rPr>
                                </w:pPr>
                                <w:r w:rsidRPr="003C7BE7">
                                  <w:rPr>
                                    <w:rFonts w:ascii="Arial" w:hAnsi="Arial" w:cs="Arial"/>
                                    <w:color w:val="FFFFFF" w:themeColor="background1"/>
                                    <w:sz w:val="80"/>
                                    <w:szCs w:val="80"/>
                                  </w:rPr>
                                  <w:t xml:space="preserve">N.º: </w:t>
                                </w:r>
                                <w:r>
                                  <w:rPr>
                                    <w:rFonts w:ascii="Arial" w:hAnsi="Arial" w:cs="Arial"/>
                                    <w:color w:val="FFFFFF" w:themeColor="background1"/>
                                    <w:sz w:val="80"/>
                                    <w:szCs w:val="80"/>
                                  </w:rPr>
                                  <w:t>0</w:t>
                                </w:r>
                                <w:r w:rsidR="0093557A">
                                  <w:rPr>
                                    <w:rFonts w:ascii="Arial" w:hAnsi="Arial" w:cs="Arial"/>
                                    <w:color w:val="FFFFFF" w:themeColor="background1"/>
                                    <w:sz w:val="80"/>
                                    <w:szCs w:val="80"/>
                                  </w:rPr>
                                  <w:t>03</w:t>
                                </w:r>
                                <w:r>
                                  <w:rPr>
                                    <w:rFonts w:ascii="Arial" w:hAnsi="Arial" w:cs="Arial"/>
                                    <w:color w:val="FFFFFF" w:themeColor="background1"/>
                                    <w:sz w:val="80"/>
                                    <w:szCs w:val="80"/>
                                  </w:rPr>
                                  <w:t>-2022</w:t>
                                </w:r>
                              </w:p>
                              <w:p w14:paraId="5E2EB8B8" w14:textId="61CF1724" w:rsidR="001505D4" w:rsidRPr="003C7BE7" w:rsidRDefault="001505D4" w:rsidP="003E6E27">
                                <w:pPr>
                                  <w:jc w:val="right"/>
                                  <w:rPr>
                                    <w:rFonts w:ascii="Arial" w:hAnsi="Arial" w:cs="Arial"/>
                                    <w:color w:val="FFFFFF" w:themeColor="background1"/>
                                    <w:sz w:val="72"/>
                                    <w:szCs w:val="72"/>
                                  </w:rPr>
                                </w:pPr>
                                <w:r w:rsidRPr="003E6E27">
                                  <w:rPr>
                                    <w:rFonts w:ascii="Arial" w:hAnsi="Arial" w:cs="Arial"/>
                                    <w:color w:val="FFFFFF" w:themeColor="background1"/>
                                    <w:sz w:val="72"/>
                                    <w:szCs w:val="72"/>
                                  </w:rPr>
                                  <w:t xml:space="preserve"> “Evaluación </w:t>
                                </w:r>
                                <w:r w:rsidRPr="00DA2FCC">
                                  <w:rPr>
                                    <w:rFonts w:ascii="Arial" w:hAnsi="Arial" w:cs="Arial"/>
                                    <w:color w:val="FFFFFF" w:themeColor="background1"/>
                                    <w:sz w:val="72"/>
                                    <w:szCs w:val="72"/>
                                  </w:rPr>
                                  <w:t>del cumplimiento del Decreto 40199-MP Apertura de Datos Públicos en el Ministerio de Hacienda (202</w:t>
                                </w:r>
                                <w:r w:rsidR="00612FC8">
                                  <w:rPr>
                                    <w:rFonts w:ascii="Arial" w:hAnsi="Arial" w:cs="Arial"/>
                                    <w:color w:val="FFFFFF" w:themeColor="background1"/>
                                    <w:sz w:val="72"/>
                                    <w:szCs w:val="72"/>
                                  </w:rPr>
                                  <w:t>2</w:t>
                                </w:r>
                                <w:r w:rsidRPr="00DA2FCC">
                                  <w:rPr>
                                    <w:rFonts w:ascii="Arial" w:hAnsi="Arial" w:cs="Arial"/>
                                    <w:color w:val="FFFFFF" w:themeColor="background1"/>
                                    <w:sz w:val="72"/>
                                    <w:szCs w:val="72"/>
                                  </w:rPr>
                                  <w:t>)</w:t>
                                </w:r>
                                <w:r>
                                  <w:rPr>
                                    <w:rFonts w:ascii="Arial" w:hAnsi="Arial" w:cs="Arial"/>
                                    <w:color w:val="FFFFFF" w:themeColor="background1"/>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8D894" id="_x0000_t202" coordsize="21600,21600" o:spt="202" path="m,l,21600r21600,l21600,xe">
                    <v:stroke joinstyle="miter"/>
                    <v:path gradientshapeok="t" o:connecttype="rect"/>
                  </v:shapetype>
                  <v:shape id="Cuadro de texto 4" o:spid="_x0000_s1026" type="#_x0000_t202" style="position:absolute;margin-left:9pt;margin-top:227.3pt;width:498pt;height:27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" filled="f" stroked="f" strokeweight=".5pt">
                    <v:textbox>
                      <w:txbxContent>
                        <w:p w14:paraId="141E0190" w14:textId="5619C4C4" w:rsidR="001505D4" w:rsidRPr="003C7BE7" w:rsidRDefault="001505D4" w:rsidP="00AD7C6B">
                          <w:pPr>
                            <w:jc w:val="right"/>
                            <w:rPr>
                              <w:rFonts w:ascii="Arial" w:hAnsi="Arial" w:cs="Arial"/>
                              <w:color w:val="FFFFFF" w:themeColor="background1"/>
                              <w:sz w:val="80"/>
                              <w:szCs w:val="80"/>
                            </w:rPr>
                          </w:pPr>
                          <w:r w:rsidRPr="003C7BE7">
                            <w:rPr>
                              <w:rFonts w:ascii="Arial" w:hAnsi="Arial" w:cs="Arial"/>
                              <w:color w:val="FFFFFF" w:themeColor="background1"/>
                              <w:sz w:val="80"/>
                              <w:szCs w:val="80"/>
                            </w:rPr>
                            <w:t xml:space="preserve">N.º: </w:t>
                          </w:r>
                          <w:r>
                            <w:rPr>
                              <w:rFonts w:ascii="Arial" w:hAnsi="Arial" w:cs="Arial"/>
                              <w:color w:val="FFFFFF" w:themeColor="background1"/>
                              <w:sz w:val="80"/>
                              <w:szCs w:val="80"/>
                            </w:rPr>
                            <w:t>0</w:t>
                          </w:r>
                          <w:r w:rsidR="0093557A">
                            <w:rPr>
                              <w:rFonts w:ascii="Arial" w:hAnsi="Arial" w:cs="Arial"/>
                              <w:color w:val="FFFFFF" w:themeColor="background1"/>
                              <w:sz w:val="80"/>
                              <w:szCs w:val="80"/>
                            </w:rPr>
                            <w:t>03</w:t>
                          </w:r>
                          <w:r>
                            <w:rPr>
                              <w:rFonts w:ascii="Arial" w:hAnsi="Arial" w:cs="Arial"/>
                              <w:color w:val="FFFFFF" w:themeColor="background1"/>
                              <w:sz w:val="80"/>
                              <w:szCs w:val="80"/>
                            </w:rPr>
                            <w:t>-2022</w:t>
                          </w:r>
                        </w:p>
                        <w:p w14:paraId="5E2EB8B8" w14:textId="61CF1724" w:rsidR="001505D4" w:rsidRPr="003C7BE7" w:rsidRDefault="001505D4" w:rsidP="003E6E27">
                          <w:pPr>
                            <w:jc w:val="right"/>
                            <w:rPr>
                              <w:rFonts w:ascii="Arial" w:hAnsi="Arial" w:cs="Arial"/>
                              <w:color w:val="FFFFFF" w:themeColor="background1"/>
                              <w:sz w:val="72"/>
                              <w:szCs w:val="72"/>
                            </w:rPr>
                          </w:pPr>
                          <w:r w:rsidRPr="003E6E27">
                            <w:rPr>
                              <w:rFonts w:ascii="Arial" w:hAnsi="Arial" w:cs="Arial"/>
                              <w:color w:val="FFFFFF" w:themeColor="background1"/>
                              <w:sz w:val="72"/>
                              <w:szCs w:val="72"/>
                            </w:rPr>
                            <w:t xml:space="preserve"> “Evaluación </w:t>
                          </w:r>
                          <w:r w:rsidRPr="00DA2FCC">
                            <w:rPr>
                              <w:rFonts w:ascii="Arial" w:hAnsi="Arial" w:cs="Arial"/>
                              <w:color w:val="FFFFFF" w:themeColor="background1"/>
                              <w:sz w:val="72"/>
                              <w:szCs w:val="72"/>
                            </w:rPr>
                            <w:t>del cumplimiento del Decreto 40199-MP Apertura de Datos Públicos en el Ministerio de Hacienda (202</w:t>
                          </w:r>
                          <w:r w:rsidR="00612FC8">
                            <w:rPr>
                              <w:rFonts w:ascii="Arial" w:hAnsi="Arial" w:cs="Arial"/>
                              <w:color w:val="FFFFFF" w:themeColor="background1"/>
                              <w:sz w:val="72"/>
                              <w:szCs w:val="72"/>
                            </w:rPr>
                            <w:t>2</w:t>
                          </w:r>
                          <w:r w:rsidRPr="00DA2FCC">
                            <w:rPr>
                              <w:rFonts w:ascii="Arial" w:hAnsi="Arial" w:cs="Arial"/>
                              <w:color w:val="FFFFFF" w:themeColor="background1"/>
                              <w:sz w:val="72"/>
                              <w:szCs w:val="72"/>
                            </w:rPr>
                            <w:t>)</w:t>
                          </w:r>
                          <w:r>
                            <w:rPr>
                              <w:rFonts w:ascii="Arial" w:hAnsi="Arial" w:cs="Arial"/>
                              <w:color w:val="FFFFFF" w:themeColor="background1"/>
                              <w:sz w:val="72"/>
                              <w:szCs w:val="72"/>
                            </w:rPr>
                            <w:t xml:space="preserve"> ”</w:t>
                          </w:r>
                        </w:p>
                      </w:txbxContent>
                    </v:textbox>
                  </v:shape>
                </w:pict>
              </mc:Fallback>
            </mc:AlternateContent>
          </w:r>
          <w:r w:rsidR="00677896" w:rsidRPr="0043627B">
            <w:rPr>
              <w:rFonts w:ascii="Arial" w:hAnsi="Arial" w:cs="Arial"/>
              <w:noProof/>
              <w:sz w:val="24"/>
              <w:szCs w:val="24"/>
              <w:lang w:eastAsia="es-CR"/>
            </w:rPr>
            <mc:AlternateContent>
              <mc:Choice Requires="wps">
                <w:drawing>
                  <wp:anchor distT="0" distB="0" distL="114300" distR="114300" simplePos="0" relativeHeight="251658242" behindDoc="0" locked="0" layoutInCell="1" allowOverlap="1" wp14:anchorId="7A884539" wp14:editId="68CC5926">
                    <wp:simplePos x="0" y="0"/>
                    <wp:positionH relativeFrom="margin">
                      <wp:posOffset>-607695</wp:posOffset>
                    </wp:positionH>
                    <wp:positionV relativeFrom="paragraph">
                      <wp:posOffset>7031990</wp:posOffset>
                    </wp:positionV>
                    <wp:extent cx="6629400" cy="67056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670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E16AB3" w14:textId="77777777" w:rsidR="001505D4" w:rsidRDefault="001505D4" w:rsidP="00AD7C6B">
                                <w:pPr>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26C71E29" w14:textId="77777777" w:rsidR="001505D4" w:rsidRPr="00AD7C6B" w:rsidRDefault="001505D4" w:rsidP="00AD7C6B">
                                <w:pPr>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4539" id="Text Box 5" o:spid="_x0000_s1027" type="#_x0000_t202" style="position:absolute;margin-left:-47.85pt;margin-top:553.7pt;width:522pt;height:52.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LrQ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" filled="f" stroked="f">
                    <v:textbox>
                      <w:txbxContent>
                        <w:p w14:paraId="14E16AB3" w14:textId="77777777" w:rsidR="001505D4" w:rsidRDefault="001505D4" w:rsidP="00AD7C6B">
                          <w:pPr>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26C71E29" w14:textId="77777777" w:rsidR="001505D4" w:rsidRPr="00AD7C6B" w:rsidRDefault="001505D4" w:rsidP="00AD7C6B">
                          <w:pPr>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r w:rsidR="00AD7C6B" w:rsidRPr="0043627B">
            <w:rPr>
              <w:rFonts w:ascii="Arial" w:hAnsi="Arial" w:cs="Arial"/>
              <w:b/>
              <w:noProof/>
              <w:sz w:val="24"/>
              <w:szCs w:val="24"/>
            </w:rPr>
            <w:drawing>
              <wp:anchor distT="0" distB="0" distL="114300" distR="114300" simplePos="0" relativeHeight="251658240" behindDoc="1" locked="0" layoutInCell="1" allowOverlap="1" wp14:anchorId="370BC45C" wp14:editId="5978D78F">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p>
      </w:sdtContent>
    </w:sdt>
    <w:bookmarkEnd w:id="3" w:displacedByCustomXml="prev"/>
    <w:p w14:paraId="462D58A9" w14:textId="77777777" w:rsidR="0055222A" w:rsidRPr="0043627B" w:rsidRDefault="0055222A" w:rsidP="006C7F40">
      <w:pPr>
        <w:contextualSpacing/>
      </w:pPr>
      <w:r w:rsidRPr="0043627B">
        <w:lastRenderedPageBreak/>
        <w:t xml:space="preserve"> </w:t>
      </w:r>
    </w:p>
    <w:sdt>
      <w:sdtPr>
        <w:rPr>
          <w:rFonts w:ascii="Arial" w:hAnsi="Arial" w:cs="Arial"/>
          <w:b/>
          <w:sz w:val="24"/>
          <w:szCs w:val="24"/>
        </w:rPr>
        <w:id w:val="-1166481374"/>
        <w:docPartObj>
          <w:docPartGallery w:val="Table of Contents"/>
          <w:docPartUnique/>
        </w:docPartObj>
      </w:sdtPr>
      <w:sdtEndPr>
        <w:rPr>
          <w:sz w:val="22"/>
          <w:szCs w:val="22"/>
        </w:rPr>
      </w:sdtEndPr>
      <w:sdtContent>
        <w:p w14:paraId="54AF2CE0" w14:textId="77777777" w:rsidR="0055222A" w:rsidRDefault="0055222A" w:rsidP="006C7F40">
          <w:pPr>
            <w:keepNext/>
            <w:keepLines/>
            <w:contextualSpacing/>
            <w:rPr>
              <w:rFonts w:ascii="Arial" w:eastAsiaTheme="majorEastAsia" w:hAnsi="Arial" w:cs="Arial"/>
              <w:b/>
              <w:bCs/>
              <w:color w:val="44546A" w:themeColor="text2"/>
              <w:lang w:eastAsia="es-CR"/>
            </w:rPr>
          </w:pPr>
          <w:r w:rsidRPr="004644EB">
            <w:rPr>
              <w:rFonts w:ascii="Arial" w:eastAsiaTheme="majorEastAsia" w:hAnsi="Arial" w:cs="Arial"/>
              <w:b/>
              <w:bCs/>
              <w:color w:val="44546A" w:themeColor="text2"/>
              <w:lang w:eastAsia="es-CR"/>
            </w:rPr>
            <w:t>CONTENIDO</w:t>
          </w:r>
        </w:p>
        <w:p w14:paraId="5F597347" w14:textId="77777777" w:rsidR="004644EB" w:rsidRDefault="004644EB" w:rsidP="006C7F40">
          <w:pPr>
            <w:keepNext/>
            <w:keepLines/>
            <w:contextualSpacing/>
            <w:rPr>
              <w:rFonts w:ascii="Arial" w:eastAsiaTheme="majorEastAsia" w:hAnsi="Arial" w:cs="Arial"/>
              <w:b/>
              <w:bCs/>
              <w:color w:val="44546A" w:themeColor="text2"/>
              <w:lang w:eastAsia="es-CR"/>
            </w:rPr>
          </w:pPr>
        </w:p>
        <w:p w14:paraId="05A845D6" w14:textId="77777777" w:rsidR="004644EB" w:rsidRPr="00441749" w:rsidRDefault="004644EB" w:rsidP="006C7F40">
          <w:pPr>
            <w:keepNext/>
            <w:keepLines/>
            <w:contextualSpacing/>
            <w:rPr>
              <w:rFonts w:ascii="Arial" w:eastAsiaTheme="majorEastAsia" w:hAnsi="Arial" w:cs="Arial"/>
              <w:b/>
              <w:bCs/>
              <w:color w:val="44546A" w:themeColor="text2"/>
              <w:lang w:eastAsia="es-CR"/>
            </w:rPr>
          </w:pPr>
        </w:p>
        <w:p w14:paraId="5195C7FA" w14:textId="3C64224B" w:rsidR="003B3B5E" w:rsidRDefault="0055222A">
          <w:pPr>
            <w:pStyle w:val="TDC1"/>
            <w:rPr>
              <w:rFonts w:eastAsiaTheme="minorEastAsia"/>
              <w:noProof/>
              <w:lang w:eastAsia="es-CR"/>
            </w:rPr>
          </w:pPr>
          <w:r w:rsidRPr="00441749">
            <w:rPr>
              <w:rFonts w:ascii="Arial" w:hAnsi="Arial" w:cs="Arial"/>
              <w:b/>
              <w:lang w:val="es-ES_tradnl"/>
            </w:rPr>
            <w:fldChar w:fldCharType="begin"/>
          </w:r>
          <w:r w:rsidRPr="00441749">
            <w:rPr>
              <w:rFonts w:ascii="Arial" w:hAnsi="Arial" w:cs="Arial"/>
              <w:b/>
            </w:rPr>
            <w:instrText xml:space="preserve"> TOC \o "1-3" \h \z \u </w:instrText>
          </w:r>
          <w:r w:rsidRPr="00441749">
            <w:rPr>
              <w:rFonts w:ascii="Arial" w:hAnsi="Arial" w:cs="Arial"/>
              <w:b/>
              <w:lang w:val="es-ES_tradnl"/>
            </w:rPr>
            <w:fldChar w:fldCharType="separate"/>
          </w:r>
          <w:hyperlink w:anchor="_Toc104793344" w:history="1">
            <w:r w:rsidR="003B3B5E" w:rsidRPr="002C49BE">
              <w:rPr>
                <w:rStyle w:val="Hipervnculo"/>
                <w:rFonts w:ascii="Arial" w:hAnsi="Arial" w:cs="Arial"/>
                <w:b/>
                <w:noProof/>
              </w:rPr>
              <w:t>1.</w:t>
            </w:r>
            <w:r w:rsidR="003B3B5E">
              <w:rPr>
                <w:rFonts w:eastAsiaTheme="minorEastAsia"/>
                <w:noProof/>
                <w:lang w:eastAsia="es-CR"/>
              </w:rPr>
              <w:tab/>
            </w:r>
            <w:r w:rsidR="003B3B5E" w:rsidRPr="002C49BE">
              <w:rPr>
                <w:rStyle w:val="Hipervnculo"/>
                <w:rFonts w:ascii="Arial" w:hAnsi="Arial" w:cs="Arial"/>
                <w:b/>
                <w:noProof/>
              </w:rPr>
              <w:t>INTRODUCCIÓN</w:t>
            </w:r>
            <w:r w:rsidR="003B3B5E">
              <w:rPr>
                <w:noProof/>
                <w:webHidden/>
              </w:rPr>
              <w:tab/>
            </w:r>
            <w:r w:rsidR="003B3B5E">
              <w:rPr>
                <w:noProof/>
                <w:webHidden/>
              </w:rPr>
              <w:fldChar w:fldCharType="begin"/>
            </w:r>
            <w:r w:rsidR="003B3B5E">
              <w:rPr>
                <w:noProof/>
                <w:webHidden/>
              </w:rPr>
              <w:instrText xml:space="preserve"> PAGEREF _Toc104793344 \h </w:instrText>
            </w:r>
            <w:r w:rsidR="003B3B5E">
              <w:rPr>
                <w:noProof/>
                <w:webHidden/>
              </w:rPr>
            </w:r>
            <w:r w:rsidR="003B3B5E">
              <w:rPr>
                <w:noProof/>
                <w:webHidden/>
              </w:rPr>
              <w:fldChar w:fldCharType="separate"/>
            </w:r>
            <w:r w:rsidR="003E06EB">
              <w:rPr>
                <w:noProof/>
                <w:webHidden/>
              </w:rPr>
              <w:t>4</w:t>
            </w:r>
            <w:r w:rsidR="003B3B5E">
              <w:rPr>
                <w:noProof/>
                <w:webHidden/>
              </w:rPr>
              <w:fldChar w:fldCharType="end"/>
            </w:r>
          </w:hyperlink>
        </w:p>
        <w:p w14:paraId="7A25A459" w14:textId="3A5DDCE6" w:rsidR="003B3B5E" w:rsidRDefault="003E06EB">
          <w:pPr>
            <w:pStyle w:val="TDC1"/>
            <w:rPr>
              <w:rFonts w:eastAsiaTheme="minorEastAsia"/>
              <w:noProof/>
              <w:lang w:eastAsia="es-CR"/>
            </w:rPr>
          </w:pPr>
          <w:hyperlink w:anchor="_Toc104793345" w:history="1">
            <w:r w:rsidR="003B3B5E" w:rsidRPr="002C49BE">
              <w:rPr>
                <w:rStyle w:val="Hipervnculo"/>
                <w:rFonts w:ascii="Arial" w:hAnsi="Arial" w:cs="Arial"/>
                <w:b/>
                <w:noProof/>
              </w:rPr>
              <w:t>1.1</w:t>
            </w:r>
            <w:r w:rsidR="003B3B5E">
              <w:rPr>
                <w:rFonts w:eastAsiaTheme="minorEastAsia"/>
                <w:noProof/>
                <w:lang w:eastAsia="es-CR"/>
              </w:rPr>
              <w:tab/>
            </w:r>
            <w:r w:rsidR="003B3B5E" w:rsidRPr="002C49BE">
              <w:rPr>
                <w:rStyle w:val="Hipervnculo"/>
                <w:rFonts w:ascii="Arial" w:hAnsi="Arial" w:cs="Arial"/>
                <w:b/>
                <w:noProof/>
              </w:rPr>
              <w:t>Origen</w:t>
            </w:r>
            <w:r w:rsidR="003B3B5E">
              <w:rPr>
                <w:noProof/>
                <w:webHidden/>
              </w:rPr>
              <w:tab/>
            </w:r>
            <w:r w:rsidR="003B3B5E">
              <w:rPr>
                <w:noProof/>
                <w:webHidden/>
              </w:rPr>
              <w:fldChar w:fldCharType="begin"/>
            </w:r>
            <w:r w:rsidR="003B3B5E">
              <w:rPr>
                <w:noProof/>
                <w:webHidden/>
              </w:rPr>
              <w:instrText xml:space="preserve"> PAGEREF _Toc104793345 \h </w:instrText>
            </w:r>
            <w:r w:rsidR="003B3B5E">
              <w:rPr>
                <w:noProof/>
                <w:webHidden/>
              </w:rPr>
            </w:r>
            <w:r w:rsidR="003B3B5E">
              <w:rPr>
                <w:noProof/>
                <w:webHidden/>
              </w:rPr>
              <w:fldChar w:fldCharType="separate"/>
            </w:r>
            <w:r>
              <w:rPr>
                <w:noProof/>
                <w:webHidden/>
              </w:rPr>
              <w:t>4</w:t>
            </w:r>
            <w:r w:rsidR="003B3B5E">
              <w:rPr>
                <w:noProof/>
                <w:webHidden/>
              </w:rPr>
              <w:fldChar w:fldCharType="end"/>
            </w:r>
          </w:hyperlink>
        </w:p>
        <w:p w14:paraId="111EE511" w14:textId="45367471" w:rsidR="003B3B5E" w:rsidRDefault="003E06EB">
          <w:pPr>
            <w:pStyle w:val="TDC1"/>
            <w:rPr>
              <w:rFonts w:eastAsiaTheme="minorEastAsia"/>
              <w:noProof/>
              <w:lang w:eastAsia="es-CR"/>
            </w:rPr>
          </w:pPr>
          <w:hyperlink w:anchor="_Toc104793346" w:history="1">
            <w:r w:rsidR="003B3B5E" w:rsidRPr="002C49BE">
              <w:rPr>
                <w:rStyle w:val="Hipervnculo"/>
                <w:rFonts w:ascii="Arial" w:hAnsi="Arial" w:cs="Arial"/>
                <w:b/>
                <w:noProof/>
              </w:rPr>
              <w:t>1.2</w:t>
            </w:r>
            <w:r w:rsidR="003B3B5E">
              <w:rPr>
                <w:rFonts w:eastAsiaTheme="minorEastAsia"/>
                <w:noProof/>
                <w:lang w:eastAsia="es-CR"/>
              </w:rPr>
              <w:tab/>
            </w:r>
            <w:r w:rsidR="003B3B5E" w:rsidRPr="002C49BE">
              <w:rPr>
                <w:rStyle w:val="Hipervnculo"/>
                <w:rFonts w:ascii="Arial" w:hAnsi="Arial" w:cs="Arial"/>
                <w:b/>
                <w:noProof/>
              </w:rPr>
              <w:t>Objetivo del estudio</w:t>
            </w:r>
            <w:r w:rsidR="003B3B5E">
              <w:rPr>
                <w:noProof/>
                <w:webHidden/>
              </w:rPr>
              <w:tab/>
            </w:r>
            <w:r w:rsidR="003B3B5E">
              <w:rPr>
                <w:noProof/>
                <w:webHidden/>
              </w:rPr>
              <w:fldChar w:fldCharType="begin"/>
            </w:r>
            <w:r w:rsidR="003B3B5E">
              <w:rPr>
                <w:noProof/>
                <w:webHidden/>
              </w:rPr>
              <w:instrText xml:space="preserve"> PAGEREF _Toc104793346 \h </w:instrText>
            </w:r>
            <w:r w:rsidR="003B3B5E">
              <w:rPr>
                <w:noProof/>
                <w:webHidden/>
              </w:rPr>
            </w:r>
            <w:r w:rsidR="003B3B5E">
              <w:rPr>
                <w:noProof/>
                <w:webHidden/>
              </w:rPr>
              <w:fldChar w:fldCharType="separate"/>
            </w:r>
            <w:r>
              <w:rPr>
                <w:noProof/>
                <w:webHidden/>
              </w:rPr>
              <w:t>4</w:t>
            </w:r>
            <w:r w:rsidR="003B3B5E">
              <w:rPr>
                <w:noProof/>
                <w:webHidden/>
              </w:rPr>
              <w:fldChar w:fldCharType="end"/>
            </w:r>
          </w:hyperlink>
        </w:p>
        <w:p w14:paraId="69468508" w14:textId="75A5F490" w:rsidR="003B3B5E" w:rsidRDefault="003E06EB">
          <w:pPr>
            <w:pStyle w:val="TDC1"/>
            <w:rPr>
              <w:rFonts w:eastAsiaTheme="minorEastAsia"/>
              <w:noProof/>
              <w:lang w:eastAsia="es-CR"/>
            </w:rPr>
          </w:pPr>
          <w:hyperlink w:anchor="_Toc104793347" w:history="1">
            <w:r w:rsidR="003B3B5E" w:rsidRPr="002C49BE">
              <w:rPr>
                <w:rStyle w:val="Hipervnculo"/>
                <w:rFonts w:ascii="Arial" w:hAnsi="Arial" w:cs="Arial"/>
                <w:b/>
                <w:noProof/>
              </w:rPr>
              <w:t>1.3</w:t>
            </w:r>
            <w:r w:rsidR="003B3B5E">
              <w:rPr>
                <w:rFonts w:eastAsiaTheme="minorEastAsia"/>
                <w:noProof/>
                <w:lang w:eastAsia="es-CR"/>
              </w:rPr>
              <w:tab/>
            </w:r>
            <w:r w:rsidR="003B3B5E" w:rsidRPr="002C49BE">
              <w:rPr>
                <w:rStyle w:val="Hipervnculo"/>
                <w:rFonts w:ascii="Arial" w:hAnsi="Arial" w:cs="Arial"/>
                <w:b/>
                <w:noProof/>
              </w:rPr>
              <w:t>Alcance</w:t>
            </w:r>
            <w:r w:rsidR="003B3B5E">
              <w:rPr>
                <w:noProof/>
                <w:webHidden/>
              </w:rPr>
              <w:tab/>
            </w:r>
            <w:r w:rsidR="003B3B5E">
              <w:rPr>
                <w:noProof/>
                <w:webHidden/>
              </w:rPr>
              <w:fldChar w:fldCharType="begin"/>
            </w:r>
            <w:r w:rsidR="003B3B5E">
              <w:rPr>
                <w:noProof/>
                <w:webHidden/>
              </w:rPr>
              <w:instrText xml:space="preserve"> PAGEREF _Toc104793347 \h </w:instrText>
            </w:r>
            <w:r w:rsidR="003B3B5E">
              <w:rPr>
                <w:noProof/>
                <w:webHidden/>
              </w:rPr>
            </w:r>
            <w:r w:rsidR="003B3B5E">
              <w:rPr>
                <w:noProof/>
                <w:webHidden/>
              </w:rPr>
              <w:fldChar w:fldCharType="separate"/>
            </w:r>
            <w:r>
              <w:rPr>
                <w:noProof/>
                <w:webHidden/>
              </w:rPr>
              <w:t>4</w:t>
            </w:r>
            <w:r w:rsidR="003B3B5E">
              <w:rPr>
                <w:noProof/>
                <w:webHidden/>
              </w:rPr>
              <w:fldChar w:fldCharType="end"/>
            </w:r>
          </w:hyperlink>
        </w:p>
        <w:p w14:paraId="516A652A" w14:textId="0511000F" w:rsidR="003B3B5E" w:rsidRDefault="003E06EB">
          <w:pPr>
            <w:pStyle w:val="TDC1"/>
            <w:rPr>
              <w:rFonts w:eastAsiaTheme="minorEastAsia"/>
              <w:noProof/>
              <w:lang w:eastAsia="es-CR"/>
            </w:rPr>
          </w:pPr>
          <w:hyperlink w:anchor="_Toc104793348" w:history="1">
            <w:r w:rsidR="003B3B5E" w:rsidRPr="002C49BE">
              <w:rPr>
                <w:rStyle w:val="Hipervnculo"/>
                <w:rFonts w:ascii="Arial" w:hAnsi="Arial" w:cs="Arial"/>
                <w:b/>
                <w:noProof/>
              </w:rPr>
              <w:t>1.4</w:t>
            </w:r>
            <w:r w:rsidR="003B3B5E">
              <w:rPr>
                <w:rFonts w:eastAsiaTheme="minorEastAsia"/>
                <w:noProof/>
                <w:lang w:eastAsia="es-CR"/>
              </w:rPr>
              <w:tab/>
            </w:r>
            <w:r w:rsidR="003B3B5E" w:rsidRPr="002C49BE">
              <w:rPr>
                <w:rStyle w:val="Hipervnculo"/>
                <w:rFonts w:ascii="Arial" w:hAnsi="Arial" w:cs="Arial"/>
                <w:b/>
                <w:noProof/>
              </w:rPr>
              <w:t>Criterios de evaluación</w:t>
            </w:r>
            <w:r w:rsidR="003B3B5E">
              <w:rPr>
                <w:noProof/>
                <w:webHidden/>
              </w:rPr>
              <w:tab/>
            </w:r>
            <w:r w:rsidR="003B3B5E">
              <w:rPr>
                <w:noProof/>
                <w:webHidden/>
              </w:rPr>
              <w:fldChar w:fldCharType="begin"/>
            </w:r>
            <w:r w:rsidR="003B3B5E">
              <w:rPr>
                <w:noProof/>
                <w:webHidden/>
              </w:rPr>
              <w:instrText xml:space="preserve"> PAGEREF _Toc104793348 \h </w:instrText>
            </w:r>
            <w:r w:rsidR="003B3B5E">
              <w:rPr>
                <w:noProof/>
                <w:webHidden/>
              </w:rPr>
            </w:r>
            <w:r w:rsidR="003B3B5E">
              <w:rPr>
                <w:noProof/>
                <w:webHidden/>
              </w:rPr>
              <w:fldChar w:fldCharType="separate"/>
            </w:r>
            <w:r>
              <w:rPr>
                <w:noProof/>
                <w:webHidden/>
              </w:rPr>
              <w:t>4</w:t>
            </w:r>
            <w:r w:rsidR="003B3B5E">
              <w:rPr>
                <w:noProof/>
                <w:webHidden/>
              </w:rPr>
              <w:fldChar w:fldCharType="end"/>
            </w:r>
          </w:hyperlink>
        </w:p>
        <w:p w14:paraId="79B7CD41" w14:textId="2C53DD42" w:rsidR="003B3B5E" w:rsidRDefault="003E06EB">
          <w:pPr>
            <w:pStyle w:val="TDC1"/>
            <w:rPr>
              <w:rFonts w:eastAsiaTheme="minorEastAsia"/>
              <w:noProof/>
              <w:lang w:eastAsia="es-CR"/>
            </w:rPr>
          </w:pPr>
          <w:hyperlink w:anchor="_Toc104793349" w:history="1">
            <w:r w:rsidR="003B3B5E" w:rsidRPr="002C49BE">
              <w:rPr>
                <w:rStyle w:val="Hipervnculo"/>
                <w:rFonts w:ascii="Arial" w:hAnsi="Arial" w:cs="Arial"/>
                <w:b/>
                <w:noProof/>
              </w:rPr>
              <w:t>1.5</w:t>
            </w:r>
            <w:r w:rsidR="003B3B5E">
              <w:rPr>
                <w:rFonts w:eastAsiaTheme="minorEastAsia"/>
                <w:noProof/>
                <w:lang w:eastAsia="es-CR"/>
              </w:rPr>
              <w:tab/>
            </w:r>
            <w:r w:rsidR="003B3B5E" w:rsidRPr="002C49BE">
              <w:rPr>
                <w:rStyle w:val="Hipervnculo"/>
                <w:rFonts w:ascii="Arial" w:hAnsi="Arial" w:cs="Arial"/>
                <w:b/>
                <w:noProof/>
              </w:rPr>
              <w:t>Metodología aplicada</w:t>
            </w:r>
            <w:r w:rsidR="003B3B5E">
              <w:rPr>
                <w:noProof/>
                <w:webHidden/>
              </w:rPr>
              <w:tab/>
            </w:r>
            <w:r w:rsidR="003B3B5E">
              <w:rPr>
                <w:noProof/>
                <w:webHidden/>
              </w:rPr>
              <w:fldChar w:fldCharType="begin"/>
            </w:r>
            <w:r w:rsidR="003B3B5E">
              <w:rPr>
                <w:noProof/>
                <w:webHidden/>
              </w:rPr>
              <w:instrText xml:space="preserve"> PAGEREF _Toc104793349 \h </w:instrText>
            </w:r>
            <w:r w:rsidR="003B3B5E">
              <w:rPr>
                <w:noProof/>
                <w:webHidden/>
              </w:rPr>
            </w:r>
            <w:r w:rsidR="003B3B5E">
              <w:rPr>
                <w:noProof/>
                <w:webHidden/>
              </w:rPr>
              <w:fldChar w:fldCharType="separate"/>
            </w:r>
            <w:r>
              <w:rPr>
                <w:noProof/>
                <w:webHidden/>
              </w:rPr>
              <w:t>4</w:t>
            </w:r>
            <w:r w:rsidR="003B3B5E">
              <w:rPr>
                <w:noProof/>
                <w:webHidden/>
              </w:rPr>
              <w:fldChar w:fldCharType="end"/>
            </w:r>
          </w:hyperlink>
        </w:p>
        <w:p w14:paraId="1B4A1E04" w14:textId="6A8773BD" w:rsidR="003B3B5E" w:rsidRDefault="003E06EB">
          <w:pPr>
            <w:pStyle w:val="TDC1"/>
            <w:rPr>
              <w:rFonts w:eastAsiaTheme="minorEastAsia"/>
              <w:noProof/>
              <w:lang w:eastAsia="es-CR"/>
            </w:rPr>
          </w:pPr>
          <w:hyperlink w:anchor="_Toc104793350" w:history="1">
            <w:r w:rsidR="003B3B5E" w:rsidRPr="002C49BE">
              <w:rPr>
                <w:rStyle w:val="Hipervnculo"/>
                <w:rFonts w:ascii="Arial" w:hAnsi="Arial" w:cs="Arial"/>
                <w:b/>
                <w:noProof/>
              </w:rPr>
              <w:t>1.6</w:t>
            </w:r>
            <w:r w:rsidR="003B3B5E">
              <w:rPr>
                <w:rFonts w:eastAsiaTheme="minorEastAsia"/>
                <w:noProof/>
                <w:lang w:eastAsia="es-CR"/>
              </w:rPr>
              <w:tab/>
            </w:r>
            <w:r w:rsidR="003B3B5E" w:rsidRPr="002C49BE">
              <w:rPr>
                <w:rStyle w:val="Hipervnculo"/>
                <w:rFonts w:ascii="Arial" w:hAnsi="Arial" w:cs="Arial"/>
                <w:b/>
                <w:noProof/>
              </w:rPr>
              <w:t>Comunicación de resultados</w:t>
            </w:r>
            <w:r w:rsidR="003B3B5E">
              <w:rPr>
                <w:noProof/>
                <w:webHidden/>
              </w:rPr>
              <w:tab/>
            </w:r>
            <w:r w:rsidR="003B3B5E">
              <w:rPr>
                <w:noProof/>
                <w:webHidden/>
              </w:rPr>
              <w:fldChar w:fldCharType="begin"/>
            </w:r>
            <w:r w:rsidR="003B3B5E">
              <w:rPr>
                <w:noProof/>
                <w:webHidden/>
              </w:rPr>
              <w:instrText xml:space="preserve"> PAGEREF _Toc104793350 \h </w:instrText>
            </w:r>
            <w:r w:rsidR="003B3B5E">
              <w:rPr>
                <w:noProof/>
                <w:webHidden/>
              </w:rPr>
            </w:r>
            <w:r w:rsidR="003B3B5E">
              <w:rPr>
                <w:noProof/>
                <w:webHidden/>
              </w:rPr>
              <w:fldChar w:fldCharType="separate"/>
            </w:r>
            <w:r>
              <w:rPr>
                <w:noProof/>
                <w:webHidden/>
              </w:rPr>
              <w:t>5</w:t>
            </w:r>
            <w:r w:rsidR="003B3B5E">
              <w:rPr>
                <w:noProof/>
                <w:webHidden/>
              </w:rPr>
              <w:fldChar w:fldCharType="end"/>
            </w:r>
          </w:hyperlink>
        </w:p>
        <w:p w14:paraId="056E4C69" w14:textId="08DCF028" w:rsidR="003B3B5E" w:rsidRDefault="003E06EB">
          <w:pPr>
            <w:pStyle w:val="TDC1"/>
            <w:rPr>
              <w:rFonts w:eastAsiaTheme="minorEastAsia"/>
              <w:noProof/>
              <w:lang w:eastAsia="es-CR"/>
            </w:rPr>
          </w:pPr>
          <w:hyperlink w:anchor="_Toc104793351" w:history="1">
            <w:r w:rsidR="003B3B5E" w:rsidRPr="002C49BE">
              <w:rPr>
                <w:rStyle w:val="Hipervnculo"/>
                <w:rFonts w:ascii="Arial" w:hAnsi="Arial" w:cs="Arial"/>
                <w:b/>
                <w:noProof/>
              </w:rPr>
              <w:t>1.7</w:t>
            </w:r>
            <w:r w:rsidR="003B3B5E">
              <w:rPr>
                <w:rFonts w:eastAsiaTheme="minorEastAsia"/>
                <w:noProof/>
                <w:lang w:eastAsia="es-CR"/>
              </w:rPr>
              <w:tab/>
            </w:r>
            <w:r w:rsidR="003B3B5E" w:rsidRPr="002C49BE">
              <w:rPr>
                <w:rStyle w:val="Hipervnculo"/>
                <w:rFonts w:ascii="Arial" w:hAnsi="Arial" w:cs="Arial"/>
                <w:b/>
                <w:noProof/>
              </w:rPr>
              <w:t>Normativa relacionada con el control interno</w:t>
            </w:r>
            <w:r w:rsidR="003B3B5E">
              <w:rPr>
                <w:noProof/>
                <w:webHidden/>
              </w:rPr>
              <w:tab/>
            </w:r>
            <w:r w:rsidR="003B3B5E">
              <w:rPr>
                <w:noProof/>
                <w:webHidden/>
              </w:rPr>
              <w:fldChar w:fldCharType="begin"/>
            </w:r>
            <w:r w:rsidR="003B3B5E">
              <w:rPr>
                <w:noProof/>
                <w:webHidden/>
              </w:rPr>
              <w:instrText xml:space="preserve"> PAGEREF _Toc104793351 \h </w:instrText>
            </w:r>
            <w:r w:rsidR="003B3B5E">
              <w:rPr>
                <w:noProof/>
                <w:webHidden/>
              </w:rPr>
            </w:r>
            <w:r w:rsidR="003B3B5E">
              <w:rPr>
                <w:noProof/>
                <w:webHidden/>
              </w:rPr>
              <w:fldChar w:fldCharType="separate"/>
            </w:r>
            <w:r>
              <w:rPr>
                <w:noProof/>
                <w:webHidden/>
              </w:rPr>
              <w:t>5</w:t>
            </w:r>
            <w:r w:rsidR="003B3B5E">
              <w:rPr>
                <w:noProof/>
                <w:webHidden/>
              </w:rPr>
              <w:fldChar w:fldCharType="end"/>
            </w:r>
          </w:hyperlink>
        </w:p>
        <w:p w14:paraId="7375FA29" w14:textId="5928C131" w:rsidR="003B3B5E" w:rsidRDefault="003E06EB">
          <w:pPr>
            <w:pStyle w:val="TDC1"/>
            <w:rPr>
              <w:rFonts w:eastAsiaTheme="minorEastAsia"/>
              <w:noProof/>
              <w:lang w:eastAsia="es-CR"/>
            </w:rPr>
          </w:pPr>
          <w:hyperlink w:anchor="_Toc104793352" w:history="1">
            <w:r w:rsidR="003B3B5E" w:rsidRPr="002C49BE">
              <w:rPr>
                <w:rStyle w:val="Hipervnculo"/>
                <w:rFonts w:ascii="Arial" w:hAnsi="Arial" w:cs="Arial"/>
                <w:b/>
                <w:noProof/>
              </w:rPr>
              <w:t>1.8</w:t>
            </w:r>
            <w:r w:rsidR="003B3B5E">
              <w:rPr>
                <w:rFonts w:eastAsiaTheme="minorEastAsia"/>
                <w:noProof/>
                <w:lang w:eastAsia="es-CR"/>
              </w:rPr>
              <w:tab/>
            </w:r>
            <w:r w:rsidR="003B3B5E" w:rsidRPr="002C49BE">
              <w:rPr>
                <w:rStyle w:val="Hipervnculo"/>
                <w:rFonts w:ascii="Arial" w:hAnsi="Arial" w:cs="Arial"/>
                <w:b/>
                <w:noProof/>
              </w:rPr>
              <w:t>Generalidades</w:t>
            </w:r>
            <w:r w:rsidR="003B3B5E">
              <w:rPr>
                <w:noProof/>
                <w:webHidden/>
              </w:rPr>
              <w:tab/>
            </w:r>
            <w:r w:rsidR="003B3B5E">
              <w:rPr>
                <w:noProof/>
                <w:webHidden/>
              </w:rPr>
              <w:fldChar w:fldCharType="begin"/>
            </w:r>
            <w:r w:rsidR="003B3B5E">
              <w:rPr>
                <w:noProof/>
                <w:webHidden/>
              </w:rPr>
              <w:instrText xml:space="preserve"> PAGEREF _Toc104793352 \h </w:instrText>
            </w:r>
            <w:r w:rsidR="003B3B5E">
              <w:rPr>
                <w:noProof/>
                <w:webHidden/>
              </w:rPr>
            </w:r>
            <w:r w:rsidR="003B3B5E">
              <w:rPr>
                <w:noProof/>
                <w:webHidden/>
              </w:rPr>
              <w:fldChar w:fldCharType="separate"/>
            </w:r>
            <w:r>
              <w:rPr>
                <w:noProof/>
                <w:webHidden/>
              </w:rPr>
              <w:t>5</w:t>
            </w:r>
            <w:r w:rsidR="003B3B5E">
              <w:rPr>
                <w:noProof/>
                <w:webHidden/>
              </w:rPr>
              <w:fldChar w:fldCharType="end"/>
            </w:r>
          </w:hyperlink>
        </w:p>
        <w:p w14:paraId="100AE292" w14:textId="08ECE7DB" w:rsidR="003B3B5E" w:rsidRDefault="003E06EB">
          <w:pPr>
            <w:pStyle w:val="TDC1"/>
            <w:rPr>
              <w:rFonts w:eastAsiaTheme="minorEastAsia"/>
              <w:noProof/>
              <w:lang w:eastAsia="es-CR"/>
            </w:rPr>
          </w:pPr>
          <w:hyperlink w:anchor="_Toc104793353" w:history="1">
            <w:r w:rsidR="003B3B5E" w:rsidRPr="002C49BE">
              <w:rPr>
                <w:rStyle w:val="Hipervnculo"/>
                <w:rFonts w:ascii="Arial" w:hAnsi="Arial" w:cs="Arial"/>
                <w:b/>
                <w:bCs/>
                <w:noProof/>
                <w:kern w:val="28"/>
                <w:lang w:eastAsia="es-ES"/>
              </w:rPr>
              <w:t>2.</w:t>
            </w:r>
            <w:r w:rsidR="003B3B5E">
              <w:rPr>
                <w:rFonts w:eastAsiaTheme="minorEastAsia"/>
                <w:noProof/>
                <w:lang w:eastAsia="es-CR"/>
              </w:rPr>
              <w:tab/>
            </w:r>
            <w:r w:rsidR="003B3B5E" w:rsidRPr="002C49BE">
              <w:rPr>
                <w:rStyle w:val="Hipervnculo"/>
                <w:rFonts w:ascii="Arial" w:hAnsi="Arial" w:cs="Arial"/>
                <w:b/>
                <w:bCs/>
                <w:noProof/>
                <w:kern w:val="28"/>
                <w:lang w:eastAsia="es-ES"/>
              </w:rPr>
              <w:t>RESULTADOS</w:t>
            </w:r>
            <w:r w:rsidR="003B3B5E">
              <w:rPr>
                <w:noProof/>
                <w:webHidden/>
              </w:rPr>
              <w:tab/>
            </w:r>
            <w:r w:rsidR="003B3B5E">
              <w:rPr>
                <w:noProof/>
                <w:webHidden/>
              </w:rPr>
              <w:fldChar w:fldCharType="begin"/>
            </w:r>
            <w:r w:rsidR="003B3B5E">
              <w:rPr>
                <w:noProof/>
                <w:webHidden/>
              </w:rPr>
              <w:instrText xml:space="preserve"> PAGEREF _Toc104793353 \h </w:instrText>
            </w:r>
            <w:r w:rsidR="003B3B5E">
              <w:rPr>
                <w:noProof/>
                <w:webHidden/>
              </w:rPr>
            </w:r>
            <w:r w:rsidR="003B3B5E">
              <w:rPr>
                <w:noProof/>
                <w:webHidden/>
              </w:rPr>
              <w:fldChar w:fldCharType="separate"/>
            </w:r>
            <w:r>
              <w:rPr>
                <w:noProof/>
                <w:webHidden/>
              </w:rPr>
              <w:t>7</w:t>
            </w:r>
            <w:r w:rsidR="003B3B5E">
              <w:rPr>
                <w:noProof/>
                <w:webHidden/>
              </w:rPr>
              <w:fldChar w:fldCharType="end"/>
            </w:r>
          </w:hyperlink>
        </w:p>
        <w:p w14:paraId="0CA2AF44" w14:textId="7D29E337" w:rsidR="003B3B5E" w:rsidRDefault="003E06EB">
          <w:pPr>
            <w:pStyle w:val="TDC1"/>
            <w:rPr>
              <w:rFonts w:eastAsiaTheme="minorEastAsia"/>
              <w:noProof/>
              <w:lang w:eastAsia="es-CR"/>
            </w:rPr>
          </w:pPr>
          <w:hyperlink w:anchor="_Toc104793354" w:history="1">
            <w:r w:rsidR="003B3B5E" w:rsidRPr="002C49BE">
              <w:rPr>
                <w:rStyle w:val="Hipervnculo"/>
                <w:rFonts w:ascii="Arial" w:hAnsi="Arial" w:cs="Arial"/>
                <w:b/>
                <w:noProof/>
                <w:lang w:val="es-ES_tradnl" w:eastAsia="es-ES"/>
              </w:rPr>
              <w:t>2.1</w:t>
            </w:r>
            <w:r w:rsidR="003B3B5E">
              <w:rPr>
                <w:rFonts w:eastAsiaTheme="minorEastAsia"/>
                <w:noProof/>
                <w:lang w:eastAsia="es-CR"/>
              </w:rPr>
              <w:tab/>
            </w:r>
            <w:r w:rsidR="003B3B5E" w:rsidRPr="002C49BE">
              <w:rPr>
                <w:rStyle w:val="Hipervnculo"/>
                <w:rFonts w:ascii="Arial" w:hAnsi="Arial" w:cs="Arial"/>
                <w:b/>
                <w:noProof/>
                <w:lang w:val="es-ES_tradnl" w:eastAsia="es-ES"/>
              </w:rPr>
              <w:t>Sobre el nombramiento de Oficial de Acceso a la información</w:t>
            </w:r>
            <w:r w:rsidR="003B3B5E">
              <w:rPr>
                <w:noProof/>
                <w:webHidden/>
              </w:rPr>
              <w:tab/>
            </w:r>
            <w:r w:rsidR="003B3B5E">
              <w:rPr>
                <w:noProof/>
                <w:webHidden/>
              </w:rPr>
              <w:fldChar w:fldCharType="begin"/>
            </w:r>
            <w:r w:rsidR="003B3B5E">
              <w:rPr>
                <w:noProof/>
                <w:webHidden/>
              </w:rPr>
              <w:instrText xml:space="preserve"> PAGEREF _Toc104793354 \h </w:instrText>
            </w:r>
            <w:r w:rsidR="003B3B5E">
              <w:rPr>
                <w:noProof/>
                <w:webHidden/>
              </w:rPr>
            </w:r>
            <w:r w:rsidR="003B3B5E">
              <w:rPr>
                <w:noProof/>
                <w:webHidden/>
              </w:rPr>
              <w:fldChar w:fldCharType="separate"/>
            </w:r>
            <w:r>
              <w:rPr>
                <w:noProof/>
                <w:webHidden/>
              </w:rPr>
              <w:t>7</w:t>
            </w:r>
            <w:r w:rsidR="003B3B5E">
              <w:rPr>
                <w:noProof/>
                <w:webHidden/>
              </w:rPr>
              <w:fldChar w:fldCharType="end"/>
            </w:r>
          </w:hyperlink>
        </w:p>
        <w:p w14:paraId="582A8E55" w14:textId="27B066E0" w:rsidR="003B3B5E" w:rsidRDefault="003E06EB">
          <w:pPr>
            <w:pStyle w:val="TDC1"/>
            <w:rPr>
              <w:rFonts w:eastAsiaTheme="minorEastAsia"/>
              <w:noProof/>
              <w:lang w:eastAsia="es-CR"/>
            </w:rPr>
          </w:pPr>
          <w:hyperlink w:anchor="_Toc104793355" w:history="1">
            <w:r w:rsidR="003B3B5E" w:rsidRPr="002C49BE">
              <w:rPr>
                <w:rStyle w:val="Hipervnculo"/>
                <w:rFonts w:ascii="Arial" w:hAnsi="Arial" w:cs="Arial"/>
                <w:b/>
                <w:noProof/>
                <w:lang w:val="es-ES_tradnl" w:eastAsia="es-ES"/>
              </w:rPr>
              <w:t>2.2</w:t>
            </w:r>
            <w:r w:rsidR="003B3B5E">
              <w:rPr>
                <w:rFonts w:eastAsiaTheme="minorEastAsia"/>
                <w:noProof/>
                <w:lang w:eastAsia="es-CR"/>
              </w:rPr>
              <w:tab/>
            </w:r>
            <w:r w:rsidR="003B3B5E" w:rsidRPr="002C49BE">
              <w:rPr>
                <w:rStyle w:val="Hipervnculo"/>
                <w:rFonts w:ascii="Arial" w:hAnsi="Arial" w:cs="Arial"/>
                <w:b/>
                <w:noProof/>
                <w:lang w:val="es-ES_tradnl" w:eastAsia="es-ES"/>
              </w:rPr>
              <w:t>Gobernanza del proceso de apertura de datos abiertos</w:t>
            </w:r>
            <w:r w:rsidR="003B3B5E">
              <w:rPr>
                <w:noProof/>
                <w:webHidden/>
              </w:rPr>
              <w:tab/>
            </w:r>
            <w:r w:rsidR="003B3B5E">
              <w:rPr>
                <w:noProof/>
                <w:webHidden/>
              </w:rPr>
              <w:fldChar w:fldCharType="begin"/>
            </w:r>
            <w:r w:rsidR="003B3B5E">
              <w:rPr>
                <w:noProof/>
                <w:webHidden/>
              </w:rPr>
              <w:instrText xml:space="preserve"> PAGEREF _Toc104793355 \h </w:instrText>
            </w:r>
            <w:r w:rsidR="003B3B5E">
              <w:rPr>
                <w:noProof/>
                <w:webHidden/>
              </w:rPr>
            </w:r>
            <w:r w:rsidR="003B3B5E">
              <w:rPr>
                <w:noProof/>
                <w:webHidden/>
              </w:rPr>
              <w:fldChar w:fldCharType="separate"/>
            </w:r>
            <w:r>
              <w:rPr>
                <w:noProof/>
                <w:webHidden/>
              </w:rPr>
              <w:t>8</w:t>
            </w:r>
            <w:r w:rsidR="003B3B5E">
              <w:rPr>
                <w:noProof/>
                <w:webHidden/>
              </w:rPr>
              <w:fldChar w:fldCharType="end"/>
            </w:r>
          </w:hyperlink>
        </w:p>
        <w:p w14:paraId="73A3296B" w14:textId="5BD8F937" w:rsidR="003B3B5E" w:rsidRDefault="003E06EB">
          <w:pPr>
            <w:pStyle w:val="TDC1"/>
            <w:tabs>
              <w:tab w:val="left" w:pos="880"/>
            </w:tabs>
            <w:rPr>
              <w:rFonts w:eastAsiaTheme="minorEastAsia"/>
              <w:noProof/>
              <w:lang w:eastAsia="es-CR"/>
            </w:rPr>
          </w:pPr>
          <w:hyperlink w:anchor="_Toc104793356" w:history="1">
            <w:r w:rsidR="003B3B5E" w:rsidRPr="002C49BE">
              <w:rPr>
                <w:rStyle w:val="Hipervnculo"/>
                <w:rFonts w:ascii="Arial" w:hAnsi="Arial" w:cs="Arial"/>
                <w:b/>
                <w:noProof/>
              </w:rPr>
              <w:t>2.2.1</w:t>
            </w:r>
            <w:r w:rsidR="003B3B5E">
              <w:rPr>
                <w:rFonts w:eastAsiaTheme="minorEastAsia"/>
                <w:noProof/>
                <w:lang w:eastAsia="es-CR"/>
              </w:rPr>
              <w:tab/>
            </w:r>
            <w:r w:rsidR="003B3B5E" w:rsidRPr="002C49BE">
              <w:rPr>
                <w:rStyle w:val="Hipervnculo"/>
                <w:rFonts w:ascii="Arial" w:hAnsi="Arial" w:cs="Arial"/>
                <w:b/>
                <w:noProof/>
                <w:lang w:val="es-ES_tradnl" w:eastAsia="es-ES"/>
              </w:rPr>
              <w:t>Omisiones y desactualizaciones de datos públicos</w:t>
            </w:r>
            <w:r w:rsidR="003B3B5E">
              <w:rPr>
                <w:noProof/>
                <w:webHidden/>
              </w:rPr>
              <w:tab/>
            </w:r>
            <w:r w:rsidR="003B3B5E">
              <w:rPr>
                <w:noProof/>
                <w:webHidden/>
              </w:rPr>
              <w:fldChar w:fldCharType="begin"/>
            </w:r>
            <w:r w:rsidR="003B3B5E">
              <w:rPr>
                <w:noProof/>
                <w:webHidden/>
              </w:rPr>
              <w:instrText xml:space="preserve"> PAGEREF _Toc104793356 \h </w:instrText>
            </w:r>
            <w:r w:rsidR="003B3B5E">
              <w:rPr>
                <w:noProof/>
                <w:webHidden/>
              </w:rPr>
            </w:r>
            <w:r w:rsidR="003B3B5E">
              <w:rPr>
                <w:noProof/>
                <w:webHidden/>
              </w:rPr>
              <w:fldChar w:fldCharType="separate"/>
            </w:r>
            <w:r>
              <w:rPr>
                <w:noProof/>
                <w:webHidden/>
              </w:rPr>
              <w:t>8</w:t>
            </w:r>
            <w:r w:rsidR="003B3B5E">
              <w:rPr>
                <w:noProof/>
                <w:webHidden/>
              </w:rPr>
              <w:fldChar w:fldCharType="end"/>
            </w:r>
          </w:hyperlink>
        </w:p>
        <w:p w14:paraId="5578E634" w14:textId="27D4C170" w:rsidR="003B3B5E" w:rsidRDefault="003E06EB">
          <w:pPr>
            <w:pStyle w:val="TDC1"/>
            <w:tabs>
              <w:tab w:val="left" w:pos="880"/>
            </w:tabs>
            <w:rPr>
              <w:rFonts w:eastAsiaTheme="minorEastAsia"/>
              <w:noProof/>
              <w:lang w:eastAsia="es-CR"/>
            </w:rPr>
          </w:pPr>
          <w:hyperlink w:anchor="_Toc104793357" w:history="1">
            <w:r w:rsidR="003B3B5E" w:rsidRPr="002C49BE">
              <w:rPr>
                <w:rStyle w:val="Hipervnculo"/>
                <w:rFonts w:ascii="Arial" w:hAnsi="Arial" w:cs="Arial"/>
                <w:b/>
                <w:noProof/>
                <w:lang w:val="es-ES_tradnl" w:eastAsia="es-ES"/>
              </w:rPr>
              <w:t>2.2.2</w:t>
            </w:r>
            <w:r w:rsidR="003B3B5E">
              <w:rPr>
                <w:rFonts w:eastAsiaTheme="minorEastAsia"/>
                <w:noProof/>
                <w:lang w:eastAsia="es-CR"/>
              </w:rPr>
              <w:tab/>
            </w:r>
            <w:r w:rsidR="003B3B5E" w:rsidRPr="002C49BE">
              <w:rPr>
                <w:rStyle w:val="Hipervnculo"/>
                <w:rFonts w:ascii="Arial" w:hAnsi="Arial" w:cs="Arial"/>
                <w:b/>
                <w:noProof/>
                <w:lang w:val="es-ES_tradnl" w:eastAsia="es-ES"/>
              </w:rPr>
              <w:t>Ausencia de procesos de coordinación, comunicación y gobernanza en la publicación de datos públicos</w:t>
            </w:r>
            <w:r w:rsidR="003B3B5E">
              <w:rPr>
                <w:noProof/>
                <w:webHidden/>
              </w:rPr>
              <w:tab/>
            </w:r>
            <w:r w:rsidR="003B3B5E">
              <w:rPr>
                <w:noProof/>
                <w:webHidden/>
              </w:rPr>
              <w:fldChar w:fldCharType="begin"/>
            </w:r>
            <w:r w:rsidR="003B3B5E">
              <w:rPr>
                <w:noProof/>
                <w:webHidden/>
              </w:rPr>
              <w:instrText xml:space="preserve"> PAGEREF _Toc104793357 \h </w:instrText>
            </w:r>
            <w:r w:rsidR="003B3B5E">
              <w:rPr>
                <w:noProof/>
                <w:webHidden/>
              </w:rPr>
            </w:r>
            <w:r w:rsidR="003B3B5E">
              <w:rPr>
                <w:noProof/>
                <w:webHidden/>
              </w:rPr>
              <w:fldChar w:fldCharType="separate"/>
            </w:r>
            <w:r>
              <w:rPr>
                <w:noProof/>
                <w:webHidden/>
              </w:rPr>
              <w:t>9</w:t>
            </w:r>
            <w:r w:rsidR="003B3B5E">
              <w:rPr>
                <w:noProof/>
                <w:webHidden/>
              </w:rPr>
              <w:fldChar w:fldCharType="end"/>
            </w:r>
          </w:hyperlink>
        </w:p>
        <w:p w14:paraId="1A244E4E" w14:textId="2E0A02CD" w:rsidR="003B3B5E" w:rsidRDefault="003E06EB">
          <w:pPr>
            <w:pStyle w:val="TDC1"/>
            <w:tabs>
              <w:tab w:val="left" w:pos="880"/>
            </w:tabs>
            <w:rPr>
              <w:rFonts w:eastAsiaTheme="minorEastAsia"/>
              <w:noProof/>
              <w:lang w:eastAsia="es-CR"/>
            </w:rPr>
          </w:pPr>
          <w:hyperlink w:anchor="_Toc104793358" w:history="1">
            <w:r w:rsidR="003B3B5E" w:rsidRPr="002C49BE">
              <w:rPr>
                <w:rStyle w:val="Hipervnculo"/>
                <w:rFonts w:ascii="Arial" w:hAnsi="Arial" w:cs="Arial"/>
                <w:b/>
                <w:bCs/>
                <w:noProof/>
                <w:kern w:val="28"/>
                <w:lang w:eastAsia="es-ES"/>
              </w:rPr>
              <w:t>2.2.3</w:t>
            </w:r>
            <w:r w:rsidR="003B3B5E">
              <w:rPr>
                <w:rFonts w:eastAsiaTheme="minorEastAsia"/>
                <w:noProof/>
                <w:lang w:eastAsia="es-CR"/>
              </w:rPr>
              <w:tab/>
            </w:r>
            <w:r w:rsidR="003B3B5E" w:rsidRPr="002C49BE">
              <w:rPr>
                <w:rStyle w:val="Hipervnculo"/>
                <w:rFonts w:ascii="Arial" w:hAnsi="Arial" w:cs="Arial"/>
                <w:b/>
                <w:bCs/>
                <w:noProof/>
                <w:kern w:val="28"/>
                <w:lang w:eastAsia="es-ES"/>
              </w:rPr>
              <w:t>Criterios de valor, privacidad y confidencialidad para la publicación de datos abiertos</w:t>
            </w:r>
            <w:r w:rsidR="003B3B5E">
              <w:rPr>
                <w:noProof/>
                <w:webHidden/>
              </w:rPr>
              <w:tab/>
            </w:r>
            <w:r w:rsidR="003B3B5E">
              <w:rPr>
                <w:noProof/>
                <w:webHidden/>
              </w:rPr>
              <w:fldChar w:fldCharType="begin"/>
            </w:r>
            <w:r w:rsidR="003B3B5E">
              <w:rPr>
                <w:noProof/>
                <w:webHidden/>
              </w:rPr>
              <w:instrText xml:space="preserve"> PAGEREF _Toc104793358 \h </w:instrText>
            </w:r>
            <w:r w:rsidR="003B3B5E">
              <w:rPr>
                <w:noProof/>
                <w:webHidden/>
              </w:rPr>
            </w:r>
            <w:r w:rsidR="003B3B5E">
              <w:rPr>
                <w:noProof/>
                <w:webHidden/>
              </w:rPr>
              <w:fldChar w:fldCharType="separate"/>
            </w:r>
            <w:r>
              <w:rPr>
                <w:noProof/>
                <w:webHidden/>
              </w:rPr>
              <w:t>9</w:t>
            </w:r>
            <w:r w:rsidR="003B3B5E">
              <w:rPr>
                <w:noProof/>
                <w:webHidden/>
              </w:rPr>
              <w:fldChar w:fldCharType="end"/>
            </w:r>
          </w:hyperlink>
        </w:p>
        <w:p w14:paraId="7DDCD203" w14:textId="7598B124" w:rsidR="003B3B5E" w:rsidRDefault="003E06EB">
          <w:pPr>
            <w:pStyle w:val="TDC1"/>
            <w:tabs>
              <w:tab w:val="left" w:pos="880"/>
            </w:tabs>
            <w:rPr>
              <w:rFonts w:eastAsiaTheme="minorEastAsia"/>
              <w:noProof/>
              <w:lang w:eastAsia="es-CR"/>
            </w:rPr>
          </w:pPr>
          <w:hyperlink w:anchor="_Toc104793359" w:history="1">
            <w:r w:rsidR="003B3B5E" w:rsidRPr="002C49BE">
              <w:rPr>
                <w:rStyle w:val="Hipervnculo"/>
                <w:rFonts w:ascii="Arial" w:hAnsi="Arial" w:cs="Arial"/>
                <w:b/>
                <w:bCs/>
                <w:noProof/>
                <w:kern w:val="28"/>
                <w:lang w:eastAsia="es-ES"/>
              </w:rPr>
              <w:t>2.2.4</w:t>
            </w:r>
            <w:r w:rsidR="003B3B5E">
              <w:rPr>
                <w:rFonts w:eastAsiaTheme="minorEastAsia"/>
                <w:noProof/>
                <w:lang w:eastAsia="es-CR"/>
              </w:rPr>
              <w:tab/>
            </w:r>
            <w:r w:rsidR="003B3B5E" w:rsidRPr="002C49BE">
              <w:rPr>
                <w:rStyle w:val="Hipervnculo"/>
                <w:rFonts w:ascii="Arial" w:hAnsi="Arial" w:cs="Arial"/>
                <w:b/>
                <w:bCs/>
                <w:noProof/>
                <w:kern w:val="28"/>
                <w:lang w:eastAsia="es-ES"/>
              </w:rPr>
              <w:t>Proceso de planificación para la apertura de datos abiertos</w:t>
            </w:r>
            <w:r w:rsidR="003B3B5E">
              <w:rPr>
                <w:noProof/>
                <w:webHidden/>
              </w:rPr>
              <w:tab/>
            </w:r>
            <w:r w:rsidR="003B3B5E">
              <w:rPr>
                <w:noProof/>
                <w:webHidden/>
              </w:rPr>
              <w:fldChar w:fldCharType="begin"/>
            </w:r>
            <w:r w:rsidR="003B3B5E">
              <w:rPr>
                <w:noProof/>
                <w:webHidden/>
              </w:rPr>
              <w:instrText xml:space="preserve"> PAGEREF _Toc104793359 \h </w:instrText>
            </w:r>
            <w:r w:rsidR="003B3B5E">
              <w:rPr>
                <w:noProof/>
                <w:webHidden/>
              </w:rPr>
            </w:r>
            <w:r w:rsidR="003B3B5E">
              <w:rPr>
                <w:noProof/>
                <w:webHidden/>
              </w:rPr>
              <w:fldChar w:fldCharType="separate"/>
            </w:r>
            <w:r>
              <w:rPr>
                <w:noProof/>
                <w:webHidden/>
              </w:rPr>
              <w:t>10</w:t>
            </w:r>
            <w:r w:rsidR="003B3B5E">
              <w:rPr>
                <w:noProof/>
                <w:webHidden/>
              </w:rPr>
              <w:fldChar w:fldCharType="end"/>
            </w:r>
          </w:hyperlink>
        </w:p>
        <w:p w14:paraId="1B71A877" w14:textId="49B62CF1" w:rsidR="003B3B5E" w:rsidRDefault="003E06EB">
          <w:pPr>
            <w:pStyle w:val="TDC1"/>
            <w:rPr>
              <w:rFonts w:eastAsiaTheme="minorEastAsia"/>
              <w:noProof/>
              <w:lang w:eastAsia="es-CR"/>
            </w:rPr>
          </w:pPr>
          <w:hyperlink w:anchor="_Toc104793360" w:history="1">
            <w:r w:rsidR="003B3B5E" w:rsidRPr="002C49BE">
              <w:rPr>
                <w:rStyle w:val="Hipervnculo"/>
                <w:rFonts w:ascii="Arial" w:hAnsi="Arial" w:cs="Arial"/>
                <w:b/>
                <w:bCs/>
                <w:noProof/>
                <w:kern w:val="28"/>
                <w:lang w:eastAsia="es-ES"/>
              </w:rPr>
              <w:t>3</w:t>
            </w:r>
            <w:r w:rsidR="003B3B5E">
              <w:rPr>
                <w:rFonts w:eastAsiaTheme="minorEastAsia"/>
                <w:noProof/>
                <w:lang w:eastAsia="es-CR"/>
              </w:rPr>
              <w:tab/>
            </w:r>
            <w:r w:rsidR="003B3B5E" w:rsidRPr="002C49BE">
              <w:rPr>
                <w:rStyle w:val="Hipervnculo"/>
                <w:rFonts w:ascii="Arial" w:hAnsi="Arial" w:cs="Arial"/>
                <w:b/>
                <w:bCs/>
                <w:noProof/>
                <w:kern w:val="28"/>
                <w:lang w:eastAsia="es-ES"/>
              </w:rPr>
              <w:t>CONCLUSION</w:t>
            </w:r>
            <w:r w:rsidR="003B3B5E">
              <w:rPr>
                <w:noProof/>
                <w:webHidden/>
              </w:rPr>
              <w:tab/>
            </w:r>
            <w:r w:rsidR="003B3B5E">
              <w:rPr>
                <w:noProof/>
                <w:webHidden/>
              </w:rPr>
              <w:fldChar w:fldCharType="begin"/>
            </w:r>
            <w:r w:rsidR="003B3B5E">
              <w:rPr>
                <w:noProof/>
                <w:webHidden/>
              </w:rPr>
              <w:instrText xml:space="preserve"> PAGEREF _Toc104793360 \h </w:instrText>
            </w:r>
            <w:r w:rsidR="003B3B5E">
              <w:rPr>
                <w:noProof/>
                <w:webHidden/>
              </w:rPr>
            </w:r>
            <w:r w:rsidR="003B3B5E">
              <w:rPr>
                <w:noProof/>
                <w:webHidden/>
              </w:rPr>
              <w:fldChar w:fldCharType="separate"/>
            </w:r>
            <w:r>
              <w:rPr>
                <w:noProof/>
                <w:webHidden/>
              </w:rPr>
              <w:t>11</w:t>
            </w:r>
            <w:r w:rsidR="003B3B5E">
              <w:rPr>
                <w:noProof/>
                <w:webHidden/>
              </w:rPr>
              <w:fldChar w:fldCharType="end"/>
            </w:r>
          </w:hyperlink>
        </w:p>
        <w:p w14:paraId="72589BF1" w14:textId="727E9BB9" w:rsidR="003B3B5E" w:rsidRDefault="003E06EB">
          <w:pPr>
            <w:pStyle w:val="TDC1"/>
            <w:rPr>
              <w:rFonts w:eastAsiaTheme="minorEastAsia"/>
              <w:noProof/>
              <w:lang w:eastAsia="es-CR"/>
            </w:rPr>
          </w:pPr>
          <w:hyperlink w:anchor="_Toc104793361" w:history="1">
            <w:r w:rsidR="003B3B5E" w:rsidRPr="002C49BE">
              <w:rPr>
                <w:rStyle w:val="Hipervnculo"/>
                <w:rFonts w:ascii="Arial" w:hAnsi="Arial" w:cs="Arial"/>
                <w:b/>
                <w:bCs/>
                <w:noProof/>
                <w:kern w:val="28"/>
                <w:lang w:eastAsia="es-ES"/>
              </w:rPr>
              <w:t>4.</w:t>
            </w:r>
            <w:r w:rsidR="003B3B5E">
              <w:rPr>
                <w:rFonts w:eastAsiaTheme="minorEastAsia"/>
                <w:noProof/>
                <w:lang w:eastAsia="es-CR"/>
              </w:rPr>
              <w:tab/>
            </w:r>
            <w:r w:rsidR="003B3B5E" w:rsidRPr="002C49BE">
              <w:rPr>
                <w:rStyle w:val="Hipervnculo"/>
                <w:rFonts w:ascii="Arial" w:hAnsi="Arial" w:cs="Arial"/>
                <w:b/>
                <w:bCs/>
                <w:noProof/>
                <w:kern w:val="28"/>
                <w:lang w:eastAsia="es-ES"/>
              </w:rPr>
              <w:t>RECOMENDACIONES</w:t>
            </w:r>
            <w:r w:rsidR="003B3B5E">
              <w:rPr>
                <w:noProof/>
                <w:webHidden/>
              </w:rPr>
              <w:tab/>
            </w:r>
            <w:r w:rsidR="003B3B5E">
              <w:rPr>
                <w:noProof/>
                <w:webHidden/>
              </w:rPr>
              <w:fldChar w:fldCharType="begin"/>
            </w:r>
            <w:r w:rsidR="003B3B5E">
              <w:rPr>
                <w:noProof/>
                <w:webHidden/>
              </w:rPr>
              <w:instrText xml:space="preserve"> PAGEREF _Toc104793361 \h </w:instrText>
            </w:r>
            <w:r w:rsidR="003B3B5E">
              <w:rPr>
                <w:noProof/>
                <w:webHidden/>
              </w:rPr>
            </w:r>
            <w:r w:rsidR="003B3B5E">
              <w:rPr>
                <w:noProof/>
                <w:webHidden/>
              </w:rPr>
              <w:fldChar w:fldCharType="separate"/>
            </w:r>
            <w:r>
              <w:rPr>
                <w:noProof/>
                <w:webHidden/>
              </w:rPr>
              <w:t>11</w:t>
            </w:r>
            <w:r w:rsidR="003B3B5E">
              <w:rPr>
                <w:noProof/>
                <w:webHidden/>
              </w:rPr>
              <w:fldChar w:fldCharType="end"/>
            </w:r>
          </w:hyperlink>
        </w:p>
        <w:p w14:paraId="1F25117B" w14:textId="743FE088" w:rsidR="0055222A" w:rsidRPr="004644EB" w:rsidRDefault="0055222A" w:rsidP="006C7F40">
          <w:pPr>
            <w:contextualSpacing/>
            <w:rPr>
              <w:rFonts w:ascii="Arial" w:hAnsi="Arial" w:cs="Arial"/>
              <w:b/>
            </w:rPr>
          </w:pPr>
          <w:r w:rsidRPr="00441749">
            <w:rPr>
              <w:rFonts w:ascii="Arial" w:hAnsi="Arial" w:cs="Arial"/>
              <w:b/>
              <w:bCs/>
            </w:rPr>
            <w:fldChar w:fldCharType="end"/>
          </w:r>
        </w:p>
      </w:sdtContent>
    </w:sdt>
    <w:bookmarkStart w:id="4" w:name="_Toc390783321" w:displacedByCustomXml="prev"/>
    <w:bookmarkStart w:id="5" w:name="_Toc363725340" w:displacedByCustomXml="prev"/>
    <w:p w14:paraId="6C1C547A" w14:textId="77777777" w:rsidR="004334A8" w:rsidRDefault="004334A8" w:rsidP="004334A8">
      <w:pPr>
        <w:contextualSpacing/>
        <w:rPr>
          <w:rFonts w:ascii="Arial" w:hAnsi="Arial" w:cs="Arial"/>
          <w:b/>
          <w:color w:val="44546A" w:themeColor="text2"/>
          <w:sz w:val="24"/>
          <w:szCs w:val="24"/>
        </w:rPr>
      </w:pPr>
    </w:p>
    <w:p w14:paraId="15E1C063" w14:textId="77777777" w:rsidR="00552D74" w:rsidRDefault="00552D74" w:rsidP="004334A8">
      <w:pPr>
        <w:contextualSpacing/>
        <w:rPr>
          <w:rFonts w:ascii="Arial" w:hAnsi="Arial" w:cs="Arial"/>
          <w:b/>
          <w:color w:val="44546A" w:themeColor="text2"/>
          <w:sz w:val="24"/>
          <w:szCs w:val="24"/>
        </w:rPr>
      </w:pPr>
    </w:p>
    <w:p w14:paraId="109E5761" w14:textId="77777777" w:rsidR="00552D74" w:rsidRDefault="00552D74" w:rsidP="004334A8">
      <w:pPr>
        <w:contextualSpacing/>
        <w:rPr>
          <w:rFonts w:ascii="Arial" w:hAnsi="Arial" w:cs="Arial"/>
          <w:b/>
          <w:color w:val="44546A" w:themeColor="text2"/>
          <w:sz w:val="24"/>
          <w:szCs w:val="24"/>
        </w:rPr>
      </w:pPr>
    </w:p>
    <w:p w14:paraId="258AEDAC" w14:textId="77777777" w:rsidR="00552D74" w:rsidRDefault="00552D74" w:rsidP="004334A8">
      <w:pPr>
        <w:contextualSpacing/>
        <w:rPr>
          <w:rFonts w:ascii="Arial" w:hAnsi="Arial" w:cs="Arial"/>
          <w:b/>
          <w:color w:val="44546A" w:themeColor="text2"/>
          <w:sz w:val="24"/>
          <w:szCs w:val="24"/>
        </w:rPr>
      </w:pPr>
    </w:p>
    <w:p w14:paraId="5DCC9342" w14:textId="77777777" w:rsidR="00552D74" w:rsidRDefault="00552D74" w:rsidP="004334A8">
      <w:pPr>
        <w:contextualSpacing/>
        <w:rPr>
          <w:rFonts w:ascii="Arial" w:hAnsi="Arial" w:cs="Arial"/>
          <w:b/>
          <w:color w:val="44546A" w:themeColor="text2"/>
          <w:sz w:val="24"/>
          <w:szCs w:val="24"/>
        </w:rPr>
      </w:pPr>
    </w:p>
    <w:p w14:paraId="0C3A3886" w14:textId="77777777" w:rsidR="00552D74" w:rsidRDefault="00552D74" w:rsidP="004334A8">
      <w:pPr>
        <w:contextualSpacing/>
        <w:rPr>
          <w:rFonts w:ascii="Arial" w:hAnsi="Arial" w:cs="Arial"/>
          <w:b/>
          <w:color w:val="44546A" w:themeColor="text2"/>
          <w:sz w:val="24"/>
          <w:szCs w:val="24"/>
        </w:rPr>
      </w:pPr>
    </w:p>
    <w:p w14:paraId="30973596" w14:textId="77777777" w:rsidR="00552D74" w:rsidRDefault="00552D74" w:rsidP="004334A8">
      <w:pPr>
        <w:contextualSpacing/>
        <w:rPr>
          <w:rFonts w:ascii="Arial" w:hAnsi="Arial" w:cs="Arial"/>
          <w:b/>
          <w:color w:val="44546A" w:themeColor="text2"/>
          <w:sz w:val="24"/>
          <w:szCs w:val="24"/>
        </w:rPr>
      </w:pPr>
    </w:p>
    <w:p w14:paraId="33EF8B38" w14:textId="77777777" w:rsidR="00552D74" w:rsidRDefault="00552D74" w:rsidP="004334A8">
      <w:pPr>
        <w:contextualSpacing/>
        <w:rPr>
          <w:rFonts w:ascii="Arial" w:hAnsi="Arial" w:cs="Arial"/>
          <w:b/>
          <w:color w:val="44546A" w:themeColor="text2"/>
          <w:sz w:val="24"/>
          <w:szCs w:val="24"/>
        </w:rPr>
      </w:pPr>
    </w:p>
    <w:p w14:paraId="07BCA103" w14:textId="77777777" w:rsidR="00552D74" w:rsidRDefault="00552D74" w:rsidP="004334A8">
      <w:pPr>
        <w:contextualSpacing/>
        <w:rPr>
          <w:rFonts w:ascii="Arial" w:hAnsi="Arial" w:cs="Arial"/>
          <w:b/>
          <w:color w:val="44546A" w:themeColor="text2"/>
          <w:sz w:val="24"/>
          <w:szCs w:val="24"/>
        </w:rPr>
      </w:pPr>
    </w:p>
    <w:p w14:paraId="2F9E2DB0" w14:textId="77777777" w:rsidR="00E44C76" w:rsidRDefault="00E44C76" w:rsidP="004E15AA">
      <w:pPr>
        <w:contextualSpacing/>
        <w:jc w:val="center"/>
        <w:rPr>
          <w:rFonts w:ascii="Arial" w:hAnsi="Arial" w:cs="Arial"/>
          <w:b/>
          <w:color w:val="44546A" w:themeColor="text2"/>
          <w:sz w:val="24"/>
          <w:szCs w:val="24"/>
        </w:rPr>
      </w:pPr>
    </w:p>
    <w:p w14:paraId="057C0E4D" w14:textId="77777777" w:rsidR="00E44C76" w:rsidRDefault="00E44C76" w:rsidP="004E15AA">
      <w:pPr>
        <w:contextualSpacing/>
        <w:jc w:val="center"/>
        <w:rPr>
          <w:rFonts w:ascii="Arial" w:hAnsi="Arial" w:cs="Arial"/>
          <w:b/>
          <w:color w:val="44546A" w:themeColor="text2"/>
          <w:sz w:val="24"/>
          <w:szCs w:val="24"/>
        </w:rPr>
      </w:pPr>
    </w:p>
    <w:p w14:paraId="61D13ECB" w14:textId="06CCFE38" w:rsidR="00E44C76" w:rsidRDefault="00E44C76" w:rsidP="004E15AA">
      <w:pPr>
        <w:contextualSpacing/>
        <w:jc w:val="center"/>
        <w:rPr>
          <w:rFonts w:ascii="Arial" w:hAnsi="Arial" w:cs="Arial"/>
          <w:b/>
          <w:color w:val="44546A" w:themeColor="text2"/>
          <w:sz w:val="24"/>
          <w:szCs w:val="24"/>
        </w:rPr>
      </w:pPr>
    </w:p>
    <w:p w14:paraId="01415728" w14:textId="744E4A1E" w:rsidR="003B3B5E" w:rsidRDefault="003B3B5E" w:rsidP="004E15AA">
      <w:pPr>
        <w:contextualSpacing/>
        <w:jc w:val="center"/>
        <w:rPr>
          <w:rFonts w:ascii="Arial" w:hAnsi="Arial" w:cs="Arial"/>
          <w:b/>
          <w:color w:val="44546A" w:themeColor="text2"/>
          <w:sz w:val="24"/>
          <w:szCs w:val="24"/>
        </w:rPr>
      </w:pPr>
    </w:p>
    <w:p w14:paraId="7A7E5183" w14:textId="5B0A0F17" w:rsidR="003B3B5E" w:rsidRDefault="003B3B5E" w:rsidP="004E15AA">
      <w:pPr>
        <w:contextualSpacing/>
        <w:jc w:val="center"/>
        <w:rPr>
          <w:rFonts w:ascii="Arial" w:hAnsi="Arial" w:cs="Arial"/>
          <w:b/>
          <w:color w:val="44546A" w:themeColor="text2"/>
          <w:sz w:val="24"/>
          <w:szCs w:val="24"/>
        </w:rPr>
      </w:pPr>
    </w:p>
    <w:p w14:paraId="2BF1D2FA" w14:textId="77777777" w:rsidR="003B3B5E" w:rsidRDefault="003B3B5E" w:rsidP="004E15AA">
      <w:pPr>
        <w:contextualSpacing/>
        <w:jc w:val="center"/>
        <w:rPr>
          <w:rFonts w:ascii="Arial" w:hAnsi="Arial" w:cs="Arial"/>
          <w:b/>
          <w:color w:val="44546A" w:themeColor="text2"/>
          <w:sz w:val="24"/>
          <w:szCs w:val="24"/>
        </w:rPr>
      </w:pPr>
    </w:p>
    <w:p w14:paraId="6A79B65F" w14:textId="033D4D75" w:rsidR="0055222A" w:rsidRPr="00A136E4" w:rsidRDefault="0055222A" w:rsidP="004E15AA">
      <w:pPr>
        <w:contextualSpacing/>
        <w:jc w:val="center"/>
        <w:rPr>
          <w:rFonts w:ascii="Arial" w:hAnsi="Arial" w:cs="Arial"/>
          <w:b/>
          <w:color w:val="44546A" w:themeColor="text2"/>
          <w:sz w:val="24"/>
          <w:szCs w:val="24"/>
        </w:rPr>
      </w:pPr>
      <w:r w:rsidRPr="00A136E4">
        <w:rPr>
          <w:rFonts w:ascii="Arial" w:hAnsi="Arial" w:cs="Arial"/>
          <w:b/>
          <w:color w:val="44546A" w:themeColor="text2"/>
          <w:sz w:val="24"/>
          <w:szCs w:val="24"/>
        </w:rPr>
        <w:t>RESUMEN EJECUTIVO</w:t>
      </w:r>
      <w:bookmarkEnd w:id="5"/>
      <w:bookmarkEnd w:id="4"/>
    </w:p>
    <w:p w14:paraId="5A5642E3" w14:textId="67CD53F6" w:rsidR="00884B9E" w:rsidRDefault="00884B9E">
      <w:pPr>
        <w:contextualSpacing/>
        <w:rPr>
          <w:rFonts w:ascii="Arial" w:hAnsi="Arial" w:cs="Arial"/>
          <w:sz w:val="24"/>
          <w:szCs w:val="24"/>
        </w:rPr>
      </w:pPr>
    </w:p>
    <w:p w14:paraId="4B1AE5B3" w14:textId="77777777" w:rsidR="004662D8" w:rsidRPr="0043627B" w:rsidRDefault="004662D8">
      <w:pPr>
        <w:contextualSpacing/>
        <w:rPr>
          <w:rFonts w:ascii="Arial" w:hAnsi="Arial" w:cs="Arial"/>
          <w:sz w:val="24"/>
          <w:szCs w:val="24"/>
        </w:rPr>
      </w:pPr>
    </w:p>
    <w:p w14:paraId="3A50D947" w14:textId="77777777" w:rsidR="0055222A" w:rsidRPr="00A136E4" w:rsidRDefault="0055222A">
      <w:pPr>
        <w:contextualSpacing/>
        <w:rPr>
          <w:rFonts w:ascii="Arial" w:hAnsi="Arial" w:cs="Arial"/>
          <w:b/>
          <w:color w:val="44546A" w:themeColor="text2"/>
          <w:sz w:val="24"/>
          <w:szCs w:val="24"/>
        </w:rPr>
      </w:pPr>
      <w:r w:rsidRPr="00A136E4">
        <w:rPr>
          <w:rFonts w:ascii="Arial" w:hAnsi="Arial" w:cs="Arial"/>
          <w:b/>
          <w:color w:val="44546A" w:themeColor="text2"/>
          <w:sz w:val="24"/>
          <w:szCs w:val="24"/>
        </w:rPr>
        <w:t>¿QUÉ EXAMINAMOS?</w:t>
      </w:r>
    </w:p>
    <w:p w14:paraId="4AAC5854" w14:textId="77777777" w:rsidR="0055222A" w:rsidRPr="0043627B" w:rsidRDefault="0055222A">
      <w:pPr>
        <w:contextualSpacing/>
        <w:rPr>
          <w:rFonts w:ascii="Arial" w:hAnsi="Arial" w:cs="Arial"/>
          <w:sz w:val="24"/>
          <w:szCs w:val="24"/>
        </w:rPr>
      </w:pPr>
    </w:p>
    <w:p w14:paraId="50C558B2" w14:textId="36CB4EEA" w:rsidR="00DA2FCC" w:rsidRDefault="000E4E48">
      <w:pPr>
        <w:contextualSpacing/>
        <w:jc w:val="both"/>
        <w:rPr>
          <w:rFonts w:ascii="Arial" w:hAnsi="Arial" w:cs="Arial"/>
        </w:rPr>
      </w:pPr>
      <w:r>
        <w:rPr>
          <w:rFonts w:ascii="Arial" w:hAnsi="Arial" w:cs="Arial"/>
        </w:rPr>
        <w:t>El estudio de</w:t>
      </w:r>
      <w:r w:rsidR="003E6E27" w:rsidRPr="0057432A">
        <w:rPr>
          <w:rFonts w:ascii="Arial" w:hAnsi="Arial" w:cs="Arial"/>
        </w:rPr>
        <w:t xml:space="preserve"> auditoría tuvo como propósito </w:t>
      </w:r>
      <w:r w:rsidR="0040232C">
        <w:rPr>
          <w:rFonts w:ascii="Arial" w:hAnsi="Arial" w:cs="Arial"/>
        </w:rPr>
        <w:t>v</w:t>
      </w:r>
      <w:r w:rsidR="0040232C" w:rsidRPr="0040232C">
        <w:rPr>
          <w:rFonts w:ascii="Arial" w:hAnsi="Arial" w:cs="Arial"/>
        </w:rPr>
        <w:t xml:space="preserve">erificar si </w:t>
      </w:r>
      <w:r w:rsidR="009F6B8D" w:rsidRPr="0040232C">
        <w:rPr>
          <w:rFonts w:ascii="Arial" w:hAnsi="Arial" w:cs="Arial"/>
        </w:rPr>
        <w:t>los controles del Ministerio de Hacienda para la apertura de datos públicos cumplen</w:t>
      </w:r>
      <w:r w:rsidR="0040232C" w:rsidRPr="0040232C">
        <w:rPr>
          <w:rFonts w:ascii="Arial" w:hAnsi="Arial" w:cs="Arial"/>
        </w:rPr>
        <w:t xml:space="preserve"> con lo establecido en el decreto N° 40199-MP y demás normativa </w:t>
      </w:r>
      <w:r w:rsidR="00E46F5C" w:rsidRPr="0040232C">
        <w:rPr>
          <w:rFonts w:ascii="Arial" w:hAnsi="Arial" w:cs="Arial"/>
        </w:rPr>
        <w:t>vinculada.</w:t>
      </w:r>
    </w:p>
    <w:p w14:paraId="309F2BDE" w14:textId="77777777" w:rsidR="004662D8" w:rsidRPr="00DA2FCC" w:rsidRDefault="004662D8">
      <w:pPr>
        <w:contextualSpacing/>
        <w:jc w:val="both"/>
        <w:rPr>
          <w:rFonts w:ascii="Arial" w:hAnsi="Arial" w:cs="Arial"/>
        </w:rPr>
      </w:pPr>
    </w:p>
    <w:p w14:paraId="3DE877C3" w14:textId="77777777" w:rsidR="003E6E27" w:rsidRPr="00A51503" w:rsidRDefault="003E6E27">
      <w:pPr>
        <w:contextualSpacing/>
        <w:rPr>
          <w:rFonts w:ascii="Arial" w:hAnsi="Arial" w:cs="Arial"/>
          <w:color w:val="40546A"/>
        </w:rPr>
      </w:pPr>
    </w:p>
    <w:p w14:paraId="1A47382D" w14:textId="77777777" w:rsidR="0055222A" w:rsidRPr="0024124B" w:rsidRDefault="0055222A">
      <w:pPr>
        <w:contextualSpacing/>
        <w:rPr>
          <w:rFonts w:ascii="Arial" w:eastAsiaTheme="minorEastAsia" w:hAnsi="Arial" w:cs="Arial"/>
          <w:b/>
          <w:color w:val="44546A" w:themeColor="text2"/>
          <w:sz w:val="24"/>
          <w:szCs w:val="24"/>
          <w:lang w:val="es-ES_tradnl" w:eastAsia="es-ES"/>
        </w:rPr>
      </w:pPr>
      <w:r w:rsidRPr="0024124B">
        <w:rPr>
          <w:rFonts w:ascii="Arial" w:eastAsiaTheme="minorEastAsia" w:hAnsi="Arial" w:cs="Arial"/>
          <w:b/>
          <w:color w:val="44546A" w:themeColor="text2"/>
          <w:sz w:val="24"/>
          <w:szCs w:val="24"/>
          <w:lang w:val="es-ES_tradnl" w:eastAsia="es-ES"/>
        </w:rPr>
        <w:t>¿POR QUÉ ES IMPORTANTE?</w:t>
      </w:r>
    </w:p>
    <w:p w14:paraId="3942E300" w14:textId="77777777" w:rsidR="0043627B" w:rsidRDefault="0043627B">
      <w:pPr>
        <w:contextualSpacing/>
        <w:rPr>
          <w:rFonts w:ascii="Arial" w:hAnsi="Arial" w:cs="Arial"/>
          <w:sz w:val="24"/>
          <w:szCs w:val="24"/>
        </w:rPr>
      </w:pPr>
    </w:p>
    <w:p w14:paraId="560B49DF" w14:textId="3807D551" w:rsidR="00A66B65" w:rsidRDefault="008D4151">
      <w:pPr>
        <w:contextualSpacing/>
        <w:jc w:val="both"/>
        <w:rPr>
          <w:rFonts w:ascii="Arial" w:hAnsi="Arial" w:cs="Arial"/>
          <w:i/>
          <w:lang w:eastAsia="es-CR"/>
        </w:rPr>
      </w:pPr>
      <w:r>
        <w:rPr>
          <w:rFonts w:ascii="Arial" w:hAnsi="Arial" w:cs="Arial"/>
          <w:lang w:eastAsia="es-CR"/>
        </w:rPr>
        <w:t>Es primordial</w:t>
      </w:r>
      <w:r w:rsidR="00DA2FCC">
        <w:rPr>
          <w:rFonts w:ascii="Arial" w:hAnsi="Arial" w:cs="Arial"/>
          <w:lang w:eastAsia="es-CR"/>
        </w:rPr>
        <w:t xml:space="preserve"> re</w:t>
      </w:r>
      <w:r w:rsidR="00B45473">
        <w:rPr>
          <w:rFonts w:ascii="Arial" w:hAnsi="Arial" w:cs="Arial"/>
          <w:lang w:eastAsia="es-CR"/>
        </w:rPr>
        <w:t>cordar</w:t>
      </w:r>
      <w:r w:rsidR="00DA2FCC">
        <w:rPr>
          <w:rFonts w:ascii="Arial" w:hAnsi="Arial" w:cs="Arial"/>
          <w:lang w:eastAsia="es-CR"/>
        </w:rPr>
        <w:t xml:space="preserve"> el concepto de </w:t>
      </w:r>
      <w:r w:rsidR="00DA2FCC" w:rsidRPr="00DA2FCC">
        <w:rPr>
          <w:rFonts w:ascii="Arial" w:hAnsi="Arial" w:cs="Arial"/>
          <w:lang w:eastAsia="es-CR"/>
        </w:rPr>
        <w:t xml:space="preserve">dato abierto </w:t>
      </w:r>
      <w:r w:rsidR="00B45473">
        <w:rPr>
          <w:rFonts w:ascii="Arial" w:hAnsi="Arial" w:cs="Arial"/>
          <w:lang w:eastAsia="es-CR"/>
        </w:rPr>
        <w:t>definido en el D</w:t>
      </w:r>
      <w:r w:rsidR="00B45473" w:rsidRPr="00DA2FCC">
        <w:rPr>
          <w:rFonts w:ascii="Arial" w:hAnsi="Arial" w:cs="Arial"/>
          <w:lang w:eastAsia="es-CR"/>
        </w:rPr>
        <w:t>ecreto 40199-MP Apertura de Datos Públicos</w:t>
      </w:r>
      <w:r w:rsidR="00B45473">
        <w:rPr>
          <w:rFonts w:ascii="Arial" w:hAnsi="Arial" w:cs="Arial"/>
          <w:lang w:eastAsia="es-CR"/>
        </w:rPr>
        <w:t xml:space="preserve"> </w:t>
      </w:r>
      <w:r w:rsidR="00DA2FCC" w:rsidRPr="00DA2FCC">
        <w:rPr>
          <w:rFonts w:ascii="Arial" w:hAnsi="Arial" w:cs="Arial"/>
          <w:lang w:eastAsia="es-CR"/>
        </w:rPr>
        <w:t>como</w:t>
      </w:r>
      <w:r w:rsidR="00DA2FCC" w:rsidRPr="00B45473">
        <w:rPr>
          <w:rFonts w:ascii="Arial" w:hAnsi="Arial" w:cs="Arial"/>
          <w:i/>
          <w:lang w:eastAsia="es-CR"/>
        </w:rPr>
        <w:t xml:space="preserve">: “dato disponible en línea, sin procesar, en formato abierto, neutral e interoperable; que permite su uso y </w:t>
      </w:r>
      <w:r w:rsidR="009F6B8D" w:rsidRPr="00B45473">
        <w:rPr>
          <w:rFonts w:ascii="Arial" w:hAnsi="Arial" w:cs="Arial"/>
          <w:i/>
          <w:lang w:eastAsia="es-CR"/>
        </w:rPr>
        <w:t>reúso</w:t>
      </w:r>
      <w:r w:rsidR="00DA2FCC" w:rsidRPr="00B45473">
        <w:rPr>
          <w:rFonts w:ascii="Arial" w:hAnsi="Arial" w:cs="Arial"/>
          <w:i/>
          <w:lang w:eastAsia="es-CR"/>
        </w:rPr>
        <w:t>, disponible para su descarga en forma completa, sin costo, ni requisitos de registro y procesable en computadora”</w:t>
      </w:r>
      <w:r w:rsidR="00B45473">
        <w:rPr>
          <w:rFonts w:ascii="Arial" w:hAnsi="Arial" w:cs="Arial"/>
          <w:i/>
          <w:lang w:eastAsia="es-CR"/>
        </w:rPr>
        <w:t xml:space="preserve">. </w:t>
      </w:r>
    </w:p>
    <w:p w14:paraId="0A1DC5CF" w14:textId="77777777" w:rsidR="00A66B65" w:rsidRDefault="00A66B65">
      <w:pPr>
        <w:contextualSpacing/>
        <w:jc w:val="both"/>
        <w:rPr>
          <w:rFonts w:ascii="Arial" w:hAnsi="Arial" w:cs="Arial"/>
          <w:i/>
          <w:lang w:eastAsia="es-CR"/>
        </w:rPr>
      </w:pPr>
    </w:p>
    <w:p w14:paraId="333A48DA" w14:textId="3F5491B2" w:rsidR="00DA2FCC" w:rsidRDefault="008D4151">
      <w:pPr>
        <w:contextualSpacing/>
        <w:jc w:val="both"/>
        <w:rPr>
          <w:rFonts w:ascii="Arial" w:hAnsi="Arial" w:cs="Arial"/>
        </w:rPr>
      </w:pPr>
      <w:r>
        <w:rPr>
          <w:rFonts w:ascii="Arial" w:hAnsi="Arial" w:cs="Arial"/>
        </w:rPr>
        <w:t xml:space="preserve">Es por lo anterior, que el </w:t>
      </w:r>
      <w:r w:rsidR="00B45473">
        <w:rPr>
          <w:rFonts w:ascii="Arial" w:hAnsi="Arial" w:cs="Arial"/>
        </w:rPr>
        <w:t>Ministerio</w:t>
      </w:r>
      <w:r>
        <w:rPr>
          <w:rFonts w:ascii="Arial" w:hAnsi="Arial" w:cs="Arial"/>
        </w:rPr>
        <w:t xml:space="preserve"> debe</w:t>
      </w:r>
      <w:r w:rsidR="00B45473">
        <w:rPr>
          <w:rFonts w:ascii="Arial" w:hAnsi="Arial" w:cs="Arial"/>
        </w:rPr>
        <w:t xml:space="preserve"> i</w:t>
      </w:r>
      <w:r w:rsidR="00DA2FCC" w:rsidRPr="00B65C9F">
        <w:rPr>
          <w:rFonts w:ascii="Arial" w:hAnsi="Arial" w:cs="Arial"/>
        </w:rPr>
        <w:t>ncorporar la publicación de datos abiertos como parte del flujo de trabajo institucional</w:t>
      </w:r>
      <w:r w:rsidR="00B45473" w:rsidRPr="00B65C9F">
        <w:rPr>
          <w:rFonts w:ascii="Arial" w:hAnsi="Arial" w:cs="Arial"/>
        </w:rPr>
        <w:t>,</w:t>
      </w:r>
      <w:r w:rsidR="008E652A" w:rsidRPr="00B65C9F">
        <w:rPr>
          <w:rFonts w:ascii="Arial" w:hAnsi="Arial" w:cs="Arial"/>
        </w:rPr>
        <w:t xml:space="preserve"> permitiendo que</w:t>
      </w:r>
      <w:r w:rsidRPr="00B65C9F">
        <w:rPr>
          <w:rFonts w:ascii="Arial" w:hAnsi="Arial" w:cs="Arial"/>
        </w:rPr>
        <w:t xml:space="preserve"> </w:t>
      </w:r>
      <w:r w:rsidR="008E652A" w:rsidRPr="00B65C9F">
        <w:rPr>
          <w:rFonts w:ascii="Arial" w:hAnsi="Arial" w:cs="Arial"/>
        </w:rPr>
        <w:t xml:space="preserve">esa apertura </w:t>
      </w:r>
      <w:r w:rsidRPr="00B65C9F">
        <w:rPr>
          <w:rFonts w:ascii="Arial" w:hAnsi="Arial" w:cs="Arial"/>
        </w:rPr>
        <w:t xml:space="preserve">se convierta </w:t>
      </w:r>
      <w:r w:rsidR="00B45473" w:rsidRPr="00B65C9F">
        <w:rPr>
          <w:rFonts w:ascii="Arial" w:hAnsi="Arial" w:cs="Arial"/>
        </w:rPr>
        <w:t xml:space="preserve"> </w:t>
      </w:r>
      <w:r w:rsidR="008E652A" w:rsidRPr="00B65C9F">
        <w:rPr>
          <w:rFonts w:ascii="Arial" w:hAnsi="Arial" w:cs="Arial"/>
        </w:rPr>
        <w:t xml:space="preserve">en </w:t>
      </w:r>
      <w:r w:rsidR="00B45473" w:rsidRPr="00B65C9F">
        <w:rPr>
          <w:rFonts w:ascii="Arial" w:hAnsi="Arial" w:cs="Arial"/>
        </w:rPr>
        <w:t xml:space="preserve">una herramienta  para </w:t>
      </w:r>
      <w:r w:rsidR="00DA2FCC" w:rsidRPr="00B65C9F">
        <w:rPr>
          <w:rFonts w:ascii="Arial" w:hAnsi="Arial" w:cs="Arial"/>
        </w:rPr>
        <w:t>la toma de decisiones basada en evidencias para los sectores</w:t>
      </w:r>
      <w:r w:rsidR="00B45473" w:rsidRPr="00B65C9F">
        <w:rPr>
          <w:rFonts w:ascii="Arial" w:hAnsi="Arial" w:cs="Arial"/>
        </w:rPr>
        <w:t xml:space="preserve"> </w:t>
      </w:r>
      <w:r w:rsidR="00DA2FCC" w:rsidRPr="00B65C9F">
        <w:rPr>
          <w:rFonts w:ascii="Arial" w:hAnsi="Arial" w:cs="Arial"/>
        </w:rPr>
        <w:t>público, privado y social</w:t>
      </w:r>
      <w:r w:rsidR="009F6B8D">
        <w:rPr>
          <w:rFonts w:ascii="Arial" w:hAnsi="Arial" w:cs="Arial"/>
        </w:rPr>
        <w:t>;</w:t>
      </w:r>
      <w:r w:rsidR="00B45473" w:rsidRPr="00B65C9F">
        <w:rPr>
          <w:rFonts w:ascii="Arial" w:hAnsi="Arial" w:cs="Arial"/>
        </w:rPr>
        <w:t xml:space="preserve"> además</w:t>
      </w:r>
      <w:r w:rsidR="009F6B8D">
        <w:rPr>
          <w:rFonts w:ascii="Arial" w:hAnsi="Arial" w:cs="Arial"/>
        </w:rPr>
        <w:t>,</w:t>
      </w:r>
      <w:r w:rsidR="00B45473" w:rsidRPr="00B65C9F">
        <w:rPr>
          <w:rFonts w:ascii="Arial" w:hAnsi="Arial" w:cs="Arial"/>
        </w:rPr>
        <w:t xml:space="preserve"> de propiciar mediante este proceso el acceso a los servicios que se prestan a la ciudadanía de forma </w:t>
      </w:r>
      <w:r w:rsidR="00DA2FCC" w:rsidRPr="00B65C9F">
        <w:rPr>
          <w:rFonts w:ascii="Arial" w:hAnsi="Arial" w:cs="Arial"/>
        </w:rPr>
        <w:t>más rápida, innovadora y</w:t>
      </w:r>
      <w:r w:rsidR="00B45473" w:rsidRPr="00B65C9F">
        <w:rPr>
          <w:rFonts w:ascii="Arial" w:hAnsi="Arial" w:cs="Arial"/>
        </w:rPr>
        <w:t xml:space="preserve"> </w:t>
      </w:r>
      <w:r w:rsidR="00DA2FCC" w:rsidRPr="00B65C9F">
        <w:rPr>
          <w:rFonts w:ascii="Arial" w:hAnsi="Arial" w:cs="Arial"/>
        </w:rPr>
        <w:t>eficiente</w:t>
      </w:r>
      <w:r w:rsidR="00B45473" w:rsidRPr="00B65C9F">
        <w:rPr>
          <w:rFonts w:ascii="Arial" w:hAnsi="Arial" w:cs="Arial"/>
        </w:rPr>
        <w:t xml:space="preserve">, incrementar la </w:t>
      </w:r>
      <w:r w:rsidR="00DA2FCC" w:rsidRPr="00B65C9F">
        <w:rPr>
          <w:rFonts w:ascii="Arial" w:hAnsi="Arial" w:cs="Arial"/>
        </w:rPr>
        <w:t>transparencia, rendición de cuentas e integridad</w:t>
      </w:r>
      <w:r w:rsidR="00B45473" w:rsidRPr="00B65C9F">
        <w:rPr>
          <w:rFonts w:ascii="Arial" w:hAnsi="Arial" w:cs="Arial"/>
        </w:rPr>
        <w:t xml:space="preserve"> </w:t>
      </w:r>
      <w:r w:rsidR="00DA2FCC" w:rsidRPr="00B65C9F">
        <w:rPr>
          <w:rFonts w:ascii="Arial" w:hAnsi="Arial" w:cs="Arial"/>
        </w:rPr>
        <w:t>pública</w:t>
      </w:r>
      <w:r w:rsidR="00B45473" w:rsidRPr="00B65C9F">
        <w:rPr>
          <w:rFonts w:ascii="Arial" w:hAnsi="Arial" w:cs="Arial"/>
        </w:rPr>
        <w:t xml:space="preserve"> y e</w:t>
      </w:r>
      <w:r w:rsidR="00DA2FCC" w:rsidRPr="00B65C9F">
        <w:rPr>
          <w:rFonts w:ascii="Arial" w:hAnsi="Arial" w:cs="Arial"/>
        </w:rPr>
        <w:t xml:space="preserve">l empoderamiento ciudadano, </w:t>
      </w:r>
      <w:r w:rsidR="00B45473" w:rsidRPr="00B65C9F">
        <w:rPr>
          <w:rFonts w:ascii="Arial" w:hAnsi="Arial" w:cs="Arial"/>
        </w:rPr>
        <w:t xml:space="preserve">por medio del </w:t>
      </w:r>
      <w:r w:rsidR="00DA2FCC" w:rsidRPr="00B65C9F">
        <w:rPr>
          <w:rFonts w:ascii="Arial" w:hAnsi="Arial" w:cs="Arial"/>
        </w:rPr>
        <w:t>derecho de acceso a la información pública y foment</w:t>
      </w:r>
      <w:r w:rsidR="00B65C9F">
        <w:rPr>
          <w:rFonts w:ascii="Arial" w:hAnsi="Arial" w:cs="Arial"/>
        </w:rPr>
        <w:t>o a</w:t>
      </w:r>
      <w:r w:rsidR="00DA2FCC" w:rsidRPr="00B65C9F">
        <w:rPr>
          <w:rFonts w:ascii="Arial" w:hAnsi="Arial" w:cs="Arial"/>
        </w:rPr>
        <w:t xml:space="preserve"> la participación</w:t>
      </w:r>
      <w:r w:rsidR="00B45473" w:rsidRPr="00B65C9F">
        <w:rPr>
          <w:rFonts w:ascii="Arial" w:hAnsi="Arial" w:cs="Arial"/>
        </w:rPr>
        <w:t xml:space="preserve"> </w:t>
      </w:r>
      <w:r w:rsidR="00DA2FCC" w:rsidRPr="00B65C9F">
        <w:rPr>
          <w:rFonts w:ascii="Arial" w:hAnsi="Arial" w:cs="Arial"/>
        </w:rPr>
        <w:t>del público</w:t>
      </w:r>
      <w:r w:rsidR="00B45473" w:rsidRPr="00B65C9F">
        <w:rPr>
          <w:rFonts w:ascii="Arial" w:hAnsi="Arial" w:cs="Arial"/>
        </w:rPr>
        <w:t xml:space="preserve"> </w:t>
      </w:r>
      <w:r w:rsidR="00DA2FCC" w:rsidRPr="00B65C9F">
        <w:rPr>
          <w:rFonts w:ascii="Arial" w:hAnsi="Arial" w:cs="Arial"/>
        </w:rPr>
        <w:t>y generación de conocimiento.</w:t>
      </w:r>
    </w:p>
    <w:p w14:paraId="5E09A4F1" w14:textId="77777777" w:rsidR="00B65C9F" w:rsidRPr="00B65C9F" w:rsidRDefault="00B65C9F">
      <w:pPr>
        <w:contextualSpacing/>
        <w:jc w:val="both"/>
        <w:rPr>
          <w:rFonts w:ascii="Arial" w:hAnsi="Arial" w:cs="Arial"/>
        </w:rPr>
      </w:pPr>
    </w:p>
    <w:p w14:paraId="330991E9" w14:textId="77777777" w:rsidR="0055222A" w:rsidRPr="00A51503" w:rsidRDefault="0055222A">
      <w:pPr>
        <w:contextualSpacing/>
        <w:rPr>
          <w:rFonts w:ascii="Arial" w:hAnsi="Arial" w:cs="Arial"/>
          <w:b/>
          <w:color w:val="40546A"/>
          <w:sz w:val="24"/>
          <w:szCs w:val="24"/>
        </w:rPr>
      </w:pPr>
      <w:r w:rsidRPr="00A51503">
        <w:rPr>
          <w:rFonts w:ascii="Arial" w:hAnsi="Arial" w:cs="Arial"/>
          <w:b/>
          <w:color w:val="40546A"/>
          <w:sz w:val="24"/>
          <w:szCs w:val="24"/>
        </w:rPr>
        <w:t>¿QUÉ ENCONTRAMOS?</w:t>
      </w:r>
    </w:p>
    <w:p w14:paraId="112F61C0" w14:textId="77777777" w:rsidR="00836FBE" w:rsidRDefault="00836FBE">
      <w:pPr>
        <w:contextualSpacing/>
        <w:rPr>
          <w:rFonts w:ascii="Arial" w:hAnsi="Arial" w:cs="Arial"/>
          <w:b/>
          <w:color w:val="44546A" w:themeColor="text2"/>
          <w:sz w:val="24"/>
          <w:szCs w:val="24"/>
        </w:rPr>
      </w:pPr>
    </w:p>
    <w:p w14:paraId="61C5CEE0" w14:textId="22260F66" w:rsidR="00B65C9F" w:rsidRDefault="00836FBE">
      <w:pPr>
        <w:contextualSpacing/>
        <w:jc w:val="both"/>
        <w:rPr>
          <w:rFonts w:ascii="Arial" w:hAnsi="Arial" w:cs="Arial"/>
        </w:rPr>
      </w:pPr>
      <w:r w:rsidRPr="004F38A0">
        <w:rPr>
          <w:rFonts w:ascii="Arial" w:hAnsi="Arial" w:cs="Arial"/>
        </w:rPr>
        <w:t xml:space="preserve">Producto de la revisión realizada se determinó </w:t>
      </w:r>
      <w:r w:rsidR="00B15BC4" w:rsidRPr="004F38A0">
        <w:rPr>
          <w:rFonts w:ascii="Arial" w:hAnsi="Arial" w:cs="Arial"/>
        </w:rPr>
        <w:t xml:space="preserve">una serie de debilidades </w:t>
      </w:r>
      <w:r w:rsidR="00CC37D2" w:rsidRPr="004F38A0">
        <w:rPr>
          <w:rFonts w:ascii="Arial" w:hAnsi="Arial" w:cs="Arial"/>
        </w:rPr>
        <w:t>relacionadas</w:t>
      </w:r>
      <w:r w:rsidR="00B15BC4" w:rsidRPr="004F38A0">
        <w:rPr>
          <w:rFonts w:ascii="Arial" w:hAnsi="Arial" w:cs="Arial"/>
        </w:rPr>
        <w:t xml:space="preserve"> con </w:t>
      </w:r>
      <w:r w:rsidR="00B65C9F" w:rsidRPr="004F38A0">
        <w:rPr>
          <w:rFonts w:ascii="Arial" w:hAnsi="Arial" w:cs="Arial"/>
        </w:rPr>
        <w:t xml:space="preserve">la coordinación para la obtención de información </w:t>
      </w:r>
      <w:r w:rsidR="009316A2" w:rsidRPr="004F38A0">
        <w:rPr>
          <w:rFonts w:ascii="Arial" w:hAnsi="Arial" w:cs="Arial"/>
        </w:rPr>
        <w:t>de</w:t>
      </w:r>
      <w:r w:rsidR="00B65C9F" w:rsidRPr="004F38A0">
        <w:rPr>
          <w:rFonts w:ascii="Arial" w:hAnsi="Arial" w:cs="Arial"/>
        </w:rPr>
        <w:t xml:space="preserve"> las diferentes dependencias, el proceso para la definición de criterios de publicación y </w:t>
      </w:r>
      <w:r w:rsidR="009316A2" w:rsidRPr="004F38A0">
        <w:rPr>
          <w:rFonts w:ascii="Arial" w:hAnsi="Arial" w:cs="Arial"/>
        </w:rPr>
        <w:t>en e</w:t>
      </w:r>
      <w:r w:rsidR="00B65C9F" w:rsidRPr="004F38A0">
        <w:rPr>
          <w:rFonts w:ascii="Arial" w:hAnsi="Arial" w:cs="Arial"/>
        </w:rPr>
        <w:t>l proceso de planificación para la apertura de datos abiertos en el Ministerio</w:t>
      </w:r>
      <w:r w:rsidR="009316A2" w:rsidRPr="004F38A0">
        <w:rPr>
          <w:rFonts w:ascii="Arial" w:hAnsi="Arial" w:cs="Arial"/>
        </w:rPr>
        <w:t>.</w:t>
      </w:r>
    </w:p>
    <w:p w14:paraId="7C9E5631" w14:textId="77777777" w:rsidR="00B65C9F" w:rsidRDefault="00B65C9F">
      <w:pPr>
        <w:contextualSpacing/>
        <w:jc w:val="both"/>
        <w:rPr>
          <w:rFonts w:ascii="Arial" w:hAnsi="Arial" w:cs="Arial"/>
          <w:b/>
          <w:color w:val="40546A"/>
          <w:sz w:val="24"/>
          <w:szCs w:val="24"/>
        </w:rPr>
      </w:pPr>
    </w:p>
    <w:p w14:paraId="615D8870" w14:textId="77777777" w:rsidR="0055222A" w:rsidRPr="00A51503" w:rsidRDefault="0055222A">
      <w:pPr>
        <w:contextualSpacing/>
        <w:jc w:val="both"/>
        <w:rPr>
          <w:rFonts w:ascii="Arial" w:hAnsi="Arial" w:cs="Arial"/>
          <w:b/>
          <w:color w:val="40546A"/>
          <w:sz w:val="24"/>
          <w:szCs w:val="24"/>
        </w:rPr>
      </w:pPr>
      <w:r w:rsidRPr="00A51503">
        <w:rPr>
          <w:rFonts w:ascii="Arial" w:hAnsi="Arial" w:cs="Arial"/>
          <w:b/>
          <w:color w:val="40546A"/>
          <w:sz w:val="24"/>
          <w:szCs w:val="24"/>
        </w:rPr>
        <w:t>¿QUÉ SIGUE?</w:t>
      </w:r>
    </w:p>
    <w:p w14:paraId="5C482D97" w14:textId="77777777" w:rsidR="0055222A" w:rsidRPr="0043627B" w:rsidRDefault="0055222A">
      <w:pPr>
        <w:contextualSpacing/>
        <w:jc w:val="both"/>
        <w:rPr>
          <w:rFonts w:ascii="Arial" w:hAnsi="Arial" w:cs="Arial"/>
          <w:sz w:val="24"/>
          <w:szCs w:val="24"/>
        </w:rPr>
      </w:pPr>
    </w:p>
    <w:p w14:paraId="5809F230" w14:textId="709DFB76" w:rsidR="00100217" w:rsidRPr="0057432A" w:rsidRDefault="00C920D7">
      <w:pPr>
        <w:contextualSpacing/>
        <w:jc w:val="both"/>
        <w:rPr>
          <w:rFonts w:ascii="Arial" w:hAnsi="Arial" w:cs="Arial"/>
        </w:rPr>
      </w:pPr>
      <w:r w:rsidRPr="00C920D7">
        <w:rPr>
          <w:rFonts w:ascii="Arial" w:hAnsi="Arial" w:cs="Arial"/>
        </w:rPr>
        <w:t>Se giran recomendaciones para establecer un marco de gobernanza en el proceso de publicación de datos abiertos que permita diseñar sus principios, políticas y procedimientos con los cuales será dirigido y controlado.</w:t>
      </w:r>
    </w:p>
    <w:p w14:paraId="109D10B4" w14:textId="77777777" w:rsidR="00B15BC4" w:rsidRDefault="00B15BC4">
      <w:pPr>
        <w:contextualSpacing/>
        <w:jc w:val="both"/>
        <w:rPr>
          <w:rFonts w:ascii="Arial" w:hAnsi="Arial" w:cs="Arial"/>
          <w:sz w:val="24"/>
          <w:szCs w:val="24"/>
        </w:rPr>
      </w:pPr>
      <w:r>
        <w:rPr>
          <w:rFonts w:ascii="Arial" w:hAnsi="Arial" w:cs="Arial"/>
          <w:sz w:val="24"/>
          <w:szCs w:val="24"/>
        </w:rPr>
        <w:br w:type="page"/>
      </w:r>
    </w:p>
    <w:p w14:paraId="74968721" w14:textId="77777777" w:rsidR="0024124B" w:rsidRPr="00A136E4" w:rsidRDefault="0055222A">
      <w:pPr>
        <w:pStyle w:val="Ttulo1"/>
        <w:keepNext w:val="0"/>
        <w:keepLines w:val="0"/>
        <w:numPr>
          <w:ilvl w:val="0"/>
          <w:numId w:val="16"/>
        </w:numPr>
        <w:spacing w:before="0" w:after="0"/>
        <w:ind w:left="426" w:hanging="426"/>
        <w:contextualSpacing/>
        <w:rPr>
          <w:rFonts w:ascii="Arial" w:hAnsi="Arial" w:cs="Arial"/>
          <w:b/>
          <w:color w:val="17365D"/>
          <w:sz w:val="24"/>
          <w:szCs w:val="24"/>
        </w:rPr>
      </w:pPr>
      <w:bookmarkStart w:id="6" w:name="_Toc390783322"/>
      <w:bookmarkStart w:id="7" w:name="_Toc104793344"/>
      <w:r w:rsidRPr="00A136E4">
        <w:rPr>
          <w:rFonts w:ascii="Arial" w:hAnsi="Arial" w:cs="Arial"/>
          <w:b/>
          <w:color w:val="17365D"/>
          <w:sz w:val="24"/>
          <w:szCs w:val="24"/>
        </w:rPr>
        <w:lastRenderedPageBreak/>
        <w:t>INTRODUCCIÓN</w:t>
      </w:r>
      <w:bookmarkStart w:id="8" w:name="_Toc118276500"/>
      <w:bookmarkStart w:id="9" w:name="_Toc140566595"/>
      <w:bookmarkStart w:id="10" w:name="_Toc141671991"/>
      <w:bookmarkStart w:id="11" w:name="_Toc156811332"/>
      <w:bookmarkStart w:id="12" w:name="_Toc197941708"/>
      <w:bookmarkStart w:id="13" w:name="_Toc263196289"/>
      <w:bookmarkStart w:id="14" w:name="_Toc289069746"/>
      <w:bookmarkStart w:id="15" w:name="_Toc362603796"/>
      <w:bookmarkStart w:id="16" w:name="_Toc363725342"/>
      <w:bookmarkStart w:id="17" w:name="_Toc390783323"/>
      <w:bookmarkStart w:id="18" w:name="_Toc106783017"/>
      <w:bookmarkStart w:id="19" w:name="_Toc106783168"/>
      <w:bookmarkStart w:id="20" w:name="_Toc107808089"/>
      <w:bookmarkStart w:id="21" w:name="_Toc263196290"/>
      <w:bookmarkStart w:id="22" w:name="_Toc118276501"/>
      <w:bookmarkStart w:id="23" w:name="_Toc140566596"/>
      <w:bookmarkStart w:id="24" w:name="_Toc141671992"/>
      <w:bookmarkStart w:id="25" w:name="_Toc156811333"/>
      <w:bookmarkStart w:id="26" w:name="_Toc197941709"/>
      <w:bookmarkStart w:id="27" w:name="_Toc289069747"/>
      <w:bookmarkStart w:id="28" w:name="_Toc362603797"/>
      <w:bookmarkStart w:id="29" w:name="_Toc363725343"/>
      <w:bookmarkStart w:id="30" w:name="_Toc106697946"/>
      <w:bookmarkStart w:id="31" w:name="_Toc106698027"/>
      <w:bookmarkStart w:id="32" w:name="_Toc106783018"/>
      <w:bookmarkStart w:id="33" w:name="_Toc106783169"/>
      <w:bookmarkStart w:id="34" w:name="_Toc107808090"/>
      <w:bookmarkStart w:id="35" w:name="_Toc118276503"/>
      <w:bookmarkStart w:id="36" w:name="_Toc140566597"/>
      <w:bookmarkStart w:id="37" w:name="_Toc141671993"/>
      <w:bookmarkStart w:id="38" w:name="_Toc156811334"/>
      <w:bookmarkStart w:id="39" w:name="_Toc197941710"/>
      <w:bookmarkStart w:id="40" w:name="_Toc263196291"/>
      <w:bookmarkStart w:id="41" w:name="_Toc289069748"/>
      <w:bookmarkStart w:id="42" w:name="_Toc362603798"/>
      <w:bookmarkStart w:id="43" w:name="_Toc363725344"/>
      <w:bookmarkStart w:id="44" w:name="_Toc289069749"/>
      <w:bookmarkStart w:id="45" w:name="_Toc362603799"/>
      <w:bookmarkStart w:id="46" w:name="_Toc363725345"/>
      <w:bookmarkStart w:id="47" w:name="_Toc362603800"/>
      <w:bookmarkStart w:id="48" w:name="_Toc363725346"/>
      <w:bookmarkStart w:id="49" w:name="_Toc289069750"/>
      <w:bookmarkStart w:id="50" w:name="_Toc362603801"/>
      <w:bookmarkStart w:id="51" w:name="_Toc363725347"/>
      <w:bookmarkStart w:id="52" w:name="_Toc362603802"/>
      <w:bookmarkStart w:id="53" w:name="_Toc363725348"/>
      <w:bookmarkEnd w:id="6"/>
      <w:bookmarkEnd w:id="7"/>
    </w:p>
    <w:p w14:paraId="4DCAF09A" w14:textId="77777777" w:rsidR="0024124B" w:rsidRPr="0024124B" w:rsidRDefault="0024124B">
      <w:pPr>
        <w:contextualSpacing/>
        <w:rPr>
          <w:lang w:eastAsia="es-ES"/>
        </w:rPr>
      </w:pPr>
    </w:p>
    <w:p w14:paraId="7D7D2845"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54" w:name="_Toc104793345"/>
      <w:r w:rsidRPr="00A136E4">
        <w:rPr>
          <w:rFonts w:ascii="Arial" w:hAnsi="Arial" w:cs="Arial"/>
          <w:b/>
          <w:color w:val="17365D"/>
          <w:sz w:val="24"/>
          <w:szCs w:val="24"/>
        </w:rPr>
        <w:t>Origen</w:t>
      </w:r>
      <w:bookmarkEnd w:id="8"/>
      <w:bookmarkEnd w:id="9"/>
      <w:bookmarkEnd w:id="10"/>
      <w:bookmarkEnd w:id="11"/>
      <w:bookmarkEnd w:id="12"/>
      <w:bookmarkEnd w:id="13"/>
      <w:bookmarkEnd w:id="14"/>
      <w:bookmarkEnd w:id="15"/>
      <w:bookmarkEnd w:id="16"/>
      <w:bookmarkEnd w:id="17"/>
      <w:bookmarkEnd w:id="54"/>
    </w:p>
    <w:p w14:paraId="457EE796" w14:textId="77777777" w:rsidR="00E30B95" w:rsidRDefault="00E30B95">
      <w:pPr>
        <w:contextualSpacing/>
        <w:jc w:val="both"/>
        <w:rPr>
          <w:rFonts w:ascii="Arial" w:hAnsi="Arial" w:cs="Arial"/>
          <w:sz w:val="24"/>
          <w:szCs w:val="24"/>
        </w:rPr>
      </w:pPr>
    </w:p>
    <w:p w14:paraId="30873D89" w14:textId="3A5CEFE4" w:rsidR="0055222A" w:rsidRPr="0057432A" w:rsidRDefault="0055222A">
      <w:pPr>
        <w:contextualSpacing/>
        <w:jc w:val="both"/>
        <w:rPr>
          <w:rFonts w:ascii="Arial" w:hAnsi="Arial" w:cs="Arial"/>
        </w:rPr>
      </w:pPr>
      <w:r w:rsidRPr="0057432A">
        <w:rPr>
          <w:rFonts w:ascii="Arial" w:hAnsi="Arial" w:cs="Arial"/>
        </w:rPr>
        <w:t>El presente estudio se realizó de conformidad con el</w:t>
      </w:r>
      <w:r w:rsidR="005210DF">
        <w:rPr>
          <w:rFonts w:ascii="Arial" w:hAnsi="Arial" w:cs="Arial"/>
        </w:rPr>
        <w:t xml:space="preserve"> </w:t>
      </w:r>
      <w:r w:rsidRPr="0057432A">
        <w:rPr>
          <w:rFonts w:ascii="Arial" w:hAnsi="Arial" w:cs="Arial"/>
        </w:rPr>
        <w:t xml:space="preserve">Plan de Trabajo Anual </w:t>
      </w:r>
      <w:r w:rsidR="00FB3F79" w:rsidRPr="0057432A">
        <w:rPr>
          <w:rFonts w:ascii="Arial" w:hAnsi="Arial" w:cs="Arial"/>
        </w:rPr>
        <w:t>202</w:t>
      </w:r>
      <w:r w:rsidR="00FB3F79">
        <w:rPr>
          <w:rFonts w:ascii="Arial" w:hAnsi="Arial" w:cs="Arial"/>
        </w:rPr>
        <w:t>2</w:t>
      </w:r>
      <w:r w:rsidR="009316A2">
        <w:rPr>
          <w:rFonts w:ascii="Arial" w:hAnsi="Arial" w:cs="Arial"/>
        </w:rPr>
        <w:t xml:space="preserve"> </w:t>
      </w:r>
      <w:r w:rsidRPr="0057432A">
        <w:rPr>
          <w:rFonts w:ascii="Arial" w:hAnsi="Arial" w:cs="Arial"/>
        </w:rPr>
        <w:t>de la Auditoría Interna del Ministerio de Hacienda.</w:t>
      </w:r>
    </w:p>
    <w:p w14:paraId="4F5074A7" w14:textId="77777777" w:rsidR="0055222A" w:rsidRPr="0043627B" w:rsidRDefault="0055222A">
      <w:pPr>
        <w:contextualSpacing/>
        <w:rPr>
          <w:rFonts w:ascii="Arial" w:hAnsi="Arial" w:cs="Arial"/>
          <w:sz w:val="24"/>
          <w:szCs w:val="24"/>
        </w:rPr>
      </w:pPr>
    </w:p>
    <w:p w14:paraId="5C981A3C"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55" w:name="_Toc390783324"/>
      <w:bookmarkStart w:id="56" w:name="_Toc104793346"/>
      <w:r w:rsidRPr="00A136E4">
        <w:rPr>
          <w:rFonts w:ascii="Arial" w:hAnsi="Arial" w:cs="Arial"/>
          <w:b/>
          <w:color w:val="17365D"/>
          <w:sz w:val="24"/>
          <w:szCs w:val="24"/>
        </w:rPr>
        <w:t>Objetiv</w:t>
      </w:r>
      <w:bookmarkEnd w:id="18"/>
      <w:bookmarkEnd w:id="19"/>
      <w:bookmarkEnd w:id="20"/>
      <w:bookmarkEnd w:id="21"/>
      <w:bookmarkEnd w:id="22"/>
      <w:bookmarkEnd w:id="23"/>
      <w:bookmarkEnd w:id="24"/>
      <w:bookmarkEnd w:id="25"/>
      <w:bookmarkEnd w:id="26"/>
      <w:r w:rsidRPr="00A136E4">
        <w:rPr>
          <w:rFonts w:ascii="Arial" w:hAnsi="Arial" w:cs="Arial"/>
          <w:b/>
          <w:color w:val="17365D"/>
          <w:sz w:val="24"/>
          <w:szCs w:val="24"/>
        </w:rPr>
        <w:t>o del estudio</w:t>
      </w:r>
      <w:bookmarkEnd w:id="27"/>
      <w:bookmarkEnd w:id="28"/>
      <w:bookmarkEnd w:id="29"/>
      <w:bookmarkEnd w:id="55"/>
      <w:bookmarkEnd w:id="56"/>
    </w:p>
    <w:p w14:paraId="52335B65" w14:textId="77777777" w:rsidR="0055222A" w:rsidRPr="00100217" w:rsidRDefault="0055222A">
      <w:pPr>
        <w:contextualSpacing/>
        <w:jc w:val="both"/>
        <w:rPr>
          <w:rFonts w:ascii="Arial" w:hAnsi="Arial" w:cs="Arial"/>
          <w:sz w:val="24"/>
        </w:rPr>
      </w:pPr>
      <w:bookmarkStart w:id="57" w:name="_Hlk104208077"/>
      <w:bookmarkStart w:id="58" w:name="_Toc390783325"/>
    </w:p>
    <w:p w14:paraId="1746053D" w14:textId="77777777" w:rsidR="00571CC4" w:rsidRDefault="005210DF">
      <w:pPr>
        <w:contextualSpacing/>
        <w:jc w:val="both"/>
        <w:rPr>
          <w:rFonts w:ascii="Arial" w:hAnsi="Arial" w:cs="Arial"/>
        </w:rPr>
      </w:pPr>
      <w:bookmarkStart w:id="59" w:name="_Hlk103936130"/>
      <w:r w:rsidRPr="005210DF">
        <w:rPr>
          <w:rFonts w:ascii="Arial" w:hAnsi="Arial" w:cs="Arial"/>
        </w:rPr>
        <w:t>Verificar si los controles del Ministerio de Hacienda, para la apertura de datos públicos cumple con lo establecido en el decreto N° 40199-MP y demás normativa vinculada</w:t>
      </w:r>
      <w:bookmarkEnd w:id="57"/>
      <w:r w:rsidRPr="005210DF">
        <w:rPr>
          <w:rFonts w:ascii="Arial" w:hAnsi="Arial" w:cs="Arial"/>
        </w:rPr>
        <w:t>.</w:t>
      </w:r>
    </w:p>
    <w:bookmarkEnd w:id="59"/>
    <w:p w14:paraId="7443BCF0" w14:textId="77777777" w:rsidR="005210DF" w:rsidRPr="00A51503" w:rsidRDefault="005210DF">
      <w:pPr>
        <w:contextualSpacing/>
        <w:jc w:val="both"/>
        <w:rPr>
          <w:rFonts w:ascii="Arial" w:hAnsi="Arial" w:cs="Arial"/>
          <w:color w:val="40546A"/>
          <w:sz w:val="24"/>
        </w:rPr>
      </w:pPr>
    </w:p>
    <w:p w14:paraId="65B443D6" w14:textId="77777777" w:rsidR="005210DF"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0" w:name="_Toc104793347"/>
      <w:r w:rsidRPr="00A136E4">
        <w:rPr>
          <w:rFonts w:ascii="Arial" w:hAnsi="Arial" w:cs="Arial"/>
          <w:b/>
          <w:color w:val="17365D"/>
          <w:sz w:val="24"/>
          <w:szCs w:val="24"/>
        </w:rPr>
        <w:t>Alcance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8"/>
      <w:bookmarkEnd w:id="60"/>
    </w:p>
    <w:p w14:paraId="4F9B644C" w14:textId="77777777" w:rsidR="005210DF" w:rsidRPr="005210DF" w:rsidRDefault="005210DF" w:rsidP="0065757A">
      <w:pPr>
        <w:contextualSpacing/>
      </w:pPr>
    </w:p>
    <w:p w14:paraId="1763A59B" w14:textId="77777777" w:rsidR="005210DF" w:rsidRPr="00D8478C" w:rsidRDefault="005210DF" w:rsidP="006C7F40">
      <w:pPr>
        <w:contextualSpacing/>
        <w:jc w:val="both"/>
        <w:rPr>
          <w:rFonts w:ascii="Arial" w:hAnsi="Arial" w:cs="Arial"/>
        </w:rPr>
      </w:pPr>
      <w:bookmarkStart w:id="61" w:name="_Toc390783326"/>
      <w:r w:rsidRPr="00D8478C">
        <w:rPr>
          <w:rFonts w:ascii="Arial" w:hAnsi="Arial" w:cs="Arial"/>
        </w:rPr>
        <w:t>Comprende la revisión de los controles establecidos para la coordinación, el proceso para la definición de criterios de publicación y del proceso de planificación para la apertura de datos abiertos en el Ministerio.</w:t>
      </w:r>
    </w:p>
    <w:p w14:paraId="64D4F7A9" w14:textId="77777777" w:rsidR="005210DF" w:rsidRPr="00D8478C" w:rsidRDefault="005210DF">
      <w:pPr>
        <w:contextualSpacing/>
        <w:jc w:val="both"/>
        <w:rPr>
          <w:rFonts w:ascii="Arial" w:hAnsi="Arial" w:cs="Arial"/>
        </w:rPr>
      </w:pPr>
    </w:p>
    <w:p w14:paraId="592DEBC1" w14:textId="17218DDD" w:rsidR="00571CC4" w:rsidRPr="00D8478C" w:rsidRDefault="005210DF">
      <w:pPr>
        <w:contextualSpacing/>
        <w:jc w:val="both"/>
        <w:rPr>
          <w:rFonts w:ascii="Arial" w:hAnsi="Arial" w:cs="Arial"/>
        </w:rPr>
      </w:pPr>
      <w:r w:rsidRPr="00D8478C">
        <w:rPr>
          <w:rFonts w:ascii="Arial" w:hAnsi="Arial" w:cs="Arial"/>
        </w:rPr>
        <w:t xml:space="preserve">El periodo </w:t>
      </w:r>
      <w:r w:rsidR="004F38A0">
        <w:rPr>
          <w:rFonts w:ascii="Arial" w:hAnsi="Arial" w:cs="Arial"/>
        </w:rPr>
        <w:t xml:space="preserve">de evaluación comprende </w:t>
      </w:r>
      <w:r w:rsidRPr="00D8478C">
        <w:rPr>
          <w:rFonts w:ascii="Arial" w:hAnsi="Arial" w:cs="Arial"/>
        </w:rPr>
        <w:t>de enero a diciembre del 2021, ampliándose cuando se considere necesario.</w:t>
      </w:r>
    </w:p>
    <w:p w14:paraId="51BA3164" w14:textId="77777777" w:rsidR="005210DF" w:rsidRPr="00A51503" w:rsidRDefault="005210DF">
      <w:pPr>
        <w:contextualSpacing/>
        <w:jc w:val="both"/>
        <w:rPr>
          <w:rFonts w:ascii="Arial" w:hAnsi="Arial" w:cs="Arial"/>
          <w:color w:val="40546A"/>
          <w:sz w:val="24"/>
          <w:szCs w:val="24"/>
        </w:rPr>
      </w:pPr>
    </w:p>
    <w:p w14:paraId="6F05A0D8"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2" w:name="_Toc104793348"/>
      <w:r w:rsidRPr="00A136E4">
        <w:rPr>
          <w:rFonts w:ascii="Arial" w:hAnsi="Arial" w:cs="Arial"/>
          <w:b/>
          <w:color w:val="17365D"/>
          <w:sz w:val="24"/>
          <w:szCs w:val="24"/>
        </w:rPr>
        <w:t>Criterios de evaluación</w:t>
      </w:r>
      <w:bookmarkEnd w:id="62"/>
    </w:p>
    <w:p w14:paraId="45F85E4D" w14:textId="77777777" w:rsidR="00100217" w:rsidRDefault="00100217">
      <w:pPr>
        <w:autoSpaceDE w:val="0"/>
        <w:autoSpaceDN w:val="0"/>
        <w:adjustRightInd w:val="0"/>
        <w:contextualSpacing/>
        <w:jc w:val="both"/>
        <w:rPr>
          <w:rFonts w:ascii="Arial" w:eastAsia="Times New Roman" w:hAnsi="Arial" w:cs="Arial"/>
          <w:color w:val="000000"/>
          <w:sz w:val="24"/>
          <w:szCs w:val="24"/>
        </w:rPr>
      </w:pPr>
    </w:p>
    <w:p w14:paraId="4390C699" w14:textId="77777777" w:rsidR="004F38A0" w:rsidRDefault="0055222A" w:rsidP="00B67616">
      <w:pPr>
        <w:autoSpaceDE w:val="0"/>
        <w:autoSpaceDN w:val="0"/>
        <w:adjustRightInd w:val="0"/>
        <w:contextualSpacing/>
        <w:jc w:val="both"/>
        <w:rPr>
          <w:rFonts w:ascii="Arial" w:hAnsi="Arial" w:cs="Arial"/>
        </w:rPr>
      </w:pPr>
      <w:r w:rsidRPr="0057432A">
        <w:rPr>
          <w:rFonts w:ascii="Arial" w:eastAsia="Times New Roman" w:hAnsi="Arial" w:cs="Arial"/>
          <w:color w:val="000000"/>
        </w:rPr>
        <w:t xml:space="preserve">Los criterios de evaluación </w:t>
      </w:r>
      <w:r w:rsidRPr="0057432A">
        <w:rPr>
          <w:rFonts w:ascii="Arial" w:hAnsi="Arial" w:cs="Arial"/>
        </w:rPr>
        <w:t xml:space="preserve">fueron comunicados el </w:t>
      </w:r>
      <w:r w:rsidR="00EC1C05">
        <w:rPr>
          <w:rFonts w:ascii="Arial" w:hAnsi="Arial" w:cs="Arial"/>
        </w:rPr>
        <w:t>28</w:t>
      </w:r>
      <w:r w:rsidR="003C0297" w:rsidRPr="0057432A">
        <w:rPr>
          <w:rFonts w:ascii="Arial" w:hAnsi="Arial" w:cs="Arial"/>
        </w:rPr>
        <w:t xml:space="preserve"> de</w:t>
      </w:r>
      <w:r w:rsidR="00EC1C05">
        <w:rPr>
          <w:rFonts w:ascii="Arial" w:hAnsi="Arial" w:cs="Arial"/>
        </w:rPr>
        <w:t xml:space="preserve"> febrero</w:t>
      </w:r>
      <w:r w:rsidR="003C0297" w:rsidRPr="0057432A">
        <w:rPr>
          <w:rFonts w:ascii="Arial" w:hAnsi="Arial" w:cs="Arial"/>
        </w:rPr>
        <w:t xml:space="preserve"> del </w:t>
      </w:r>
      <w:r w:rsidR="00E46F5C" w:rsidRPr="0057432A">
        <w:rPr>
          <w:rFonts w:ascii="Arial" w:hAnsi="Arial" w:cs="Arial"/>
        </w:rPr>
        <w:t>202</w:t>
      </w:r>
      <w:r w:rsidR="00E46F5C">
        <w:rPr>
          <w:rFonts w:ascii="Arial" w:hAnsi="Arial" w:cs="Arial"/>
        </w:rPr>
        <w:t>2</w:t>
      </w:r>
      <w:r w:rsidRPr="0057432A">
        <w:rPr>
          <w:rFonts w:ascii="Arial" w:hAnsi="Arial" w:cs="Arial"/>
        </w:rPr>
        <w:t>, a</w:t>
      </w:r>
      <w:r w:rsidR="003C0297" w:rsidRPr="0057432A">
        <w:rPr>
          <w:rFonts w:ascii="Arial" w:hAnsi="Arial" w:cs="Arial"/>
        </w:rPr>
        <w:t xml:space="preserve"> </w:t>
      </w:r>
      <w:r w:rsidR="00EC1C05">
        <w:rPr>
          <w:rFonts w:ascii="Arial" w:hAnsi="Arial" w:cs="Arial"/>
        </w:rPr>
        <w:t xml:space="preserve">la </w:t>
      </w:r>
      <w:r w:rsidR="004F38A0">
        <w:rPr>
          <w:rFonts w:ascii="Arial" w:hAnsi="Arial" w:cs="Arial"/>
        </w:rPr>
        <w:t>señora</w:t>
      </w:r>
      <w:r w:rsidR="00EC1C05">
        <w:rPr>
          <w:rFonts w:ascii="Arial" w:hAnsi="Arial" w:cs="Arial"/>
        </w:rPr>
        <w:t xml:space="preserve"> </w:t>
      </w:r>
      <w:r w:rsidR="00EC1C05" w:rsidRPr="00EC1C05">
        <w:rPr>
          <w:rFonts w:ascii="Arial" w:hAnsi="Arial" w:cs="Arial"/>
        </w:rPr>
        <w:t>Alicia Avendaño Rivera</w:t>
      </w:r>
      <w:r w:rsidR="00EC1C05">
        <w:rPr>
          <w:rFonts w:ascii="Arial" w:hAnsi="Arial" w:cs="Arial"/>
        </w:rPr>
        <w:t xml:space="preserve">, </w:t>
      </w:r>
      <w:r w:rsidR="008C51A6">
        <w:rPr>
          <w:rFonts w:ascii="Arial" w:hAnsi="Arial" w:cs="Arial"/>
        </w:rPr>
        <w:t>directora</w:t>
      </w:r>
      <w:r w:rsidR="00EC1C05">
        <w:rPr>
          <w:rFonts w:ascii="Arial" w:hAnsi="Arial" w:cs="Arial"/>
        </w:rPr>
        <w:t xml:space="preserve"> de la </w:t>
      </w:r>
      <w:r w:rsidR="00EC1C05" w:rsidRPr="00EC1C05">
        <w:rPr>
          <w:rFonts w:ascii="Arial" w:hAnsi="Arial" w:cs="Arial"/>
        </w:rPr>
        <w:t>Dirección de Tecnologías de Información y Comunicación</w:t>
      </w:r>
      <w:r w:rsidR="008C51A6">
        <w:rPr>
          <w:rFonts w:ascii="Arial" w:hAnsi="Arial" w:cs="Arial"/>
        </w:rPr>
        <w:t xml:space="preserve">, </w:t>
      </w:r>
      <w:r w:rsidR="004F38A0">
        <w:rPr>
          <w:rFonts w:ascii="Arial" w:hAnsi="Arial" w:cs="Arial"/>
        </w:rPr>
        <w:t>señora</w:t>
      </w:r>
      <w:r w:rsidR="008C51A6">
        <w:rPr>
          <w:rFonts w:ascii="Arial" w:hAnsi="Arial" w:cs="Arial"/>
        </w:rPr>
        <w:t xml:space="preserve"> </w:t>
      </w:r>
      <w:r w:rsidR="00EC1C05" w:rsidRPr="00EC1C05">
        <w:rPr>
          <w:rFonts w:ascii="Arial" w:hAnsi="Arial" w:cs="Arial"/>
        </w:rPr>
        <w:t>Norma Hidalgo Bogantes</w:t>
      </w:r>
      <w:r w:rsidR="008C51A6">
        <w:rPr>
          <w:rFonts w:ascii="Arial" w:hAnsi="Arial" w:cs="Arial"/>
        </w:rPr>
        <w:t xml:space="preserve">, subdirectora y </w:t>
      </w:r>
      <w:r w:rsidR="004F38A0">
        <w:rPr>
          <w:rFonts w:ascii="Arial" w:hAnsi="Arial" w:cs="Arial"/>
        </w:rPr>
        <w:t>señor</w:t>
      </w:r>
      <w:r w:rsidR="008C51A6">
        <w:rPr>
          <w:rFonts w:ascii="Arial" w:hAnsi="Arial" w:cs="Arial"/>
        </w:rPr>
        <w:t xml:space="preserve"> </w:t>
      </w:r>
      <w:r w:rsidR="00EC1C05" w:rsidRPr="00EC1C05">
        <w:rPr>
          <w:rFonts w:ascii="Arial" w:hAnsi="Arial" w:cs="Arial"/>
        </w:rPr>
        <w:t>Jeffrey Taylor Bermúdez</w:t>
      </w:r>
      <w:r w:rsidR="004F38A0">
        <w:rPr>
          <w:rFonts w:ascii="Arial" w:hAnsi="Arial" w:cs="Arial"/>
        </w:rPr>
        <w:t xml:space="preserve">, </w:t>
      </w:r>
      <w:proofErr w:type="gramStart"/>
      <w:r w:rsidR="00552D74">
        <w:rPr>
          <w:rFonts w:ascii="Arial" w:hAnsi="Arial" w:cs="Arial"/>
        </w:rPr>
        <w:t>J</w:t>
      </w:r>
      <w:r w:rsidR="00EC1C05" w:rsidRPr="00EC1C05">
        <w:rPr>
          <w:rFonts w:ascii="Arial" w:hAnsi="Arial" w:cs="Arial"/>
        </w:rPr>
        <w:t>efe</w:t>
      </w:r>
      <w:proofErr w:type="gramEnd"/>
      <w:r w:rsidR="00EC1C05" w:rsidRPr="00EC1C05">
        <w:rPr>
          <w:rFonts w:ascii="Arial" w:hAnsi="Arial" w:cs="Arial"/>
        </w:rPr>
        <w:t xml:space="preserve"> del Departamento de Control y Aseguramiento TIC</w:t>
      </w:r>
      <w:r w:rsidR="00B67616">
        <w:rPr>
          <w:rFonts w:ascii="Arial" w:hAnsi="Arial" w:cs="Arial"/>
        </w:rPr>
        <w:t xml:space="preserve">. </w:t>
      </w:r>
    </w:p>
    <w:p w14:paraId="6FC79EAC" w14:textId="77777777" w:rsidR="004F38A0" w:rsidRDefault="004F38A0" w:rsidP="00B67616">
      <w:pPr>
        <w:autoSpaceDE w:val="0"/>
        <w:autoSpaceDN w:val="0"/>
        <w:adjustRightInd w:val="0"/>
        <w:contextualSpacing/>
        <w:jc w:val="both"/>
        <w:rPr>
          <w:rFonts w:ascii="Arial" w:hAnsi="Arial" w:cs="Arial"/>
        </w:rPr>
      </w:pPr>
    </w:p>
    <w:p w14:paraId="02F92D07" w14:textId="29DB637A" w:rsidR="00EC1C05" w:rsidRDefault="00552D74" w:rsidP="00B67616">
      <w:pPr>
        <w:autoSpaceDE w:val="0"/>
        <w:autoSpaceDN w:val="0"/>
        <w:adjustRightInd w:val="0"/>
        <w:contextualSpacing/>
        <w:jc w:val="both"/>
        <w:rPr>
          <w:rFonts w:ascii="Arial" w:hAnsi="Arial" w:cs="Arial"/>
        </w:rPr>
      </w:pPr>
      <w:r>
        <w:rPr>
          <w:rFonts w:ascii="Arial" w:hAnsi="Arial" w:cs="Arial"/>
        </w:rPr>
        <w:t>Lo anterior</w:t>
      </w:r>
      <w:r w:rsidR="009F6B8D">
        <w:rPr>
          <w:rFonts w:ascii="Arial" w:hAnsi="Arial" w:cs="Arial"/>
        </w:rPr>
        <w:t xml:space="preserve"> por cuanto</w:t>
      </w:r>
      <w:r w:rsidR="00B67616">
        <w:rPr>
          <w:rFonts w:ascii="Arial" w:hAnsi="Arial" w:cs="Arial"/>
        </w:rPr>
        <w:t xml:space="preserve"> la </w:t>
      </w:r>
      <w:r w:rsidR="009F6B8D">
        <w:rPr>
          <w:rFonts w:ascii="Arial" w:hAnsi="Arial" w:cs="Arial"/>
        </w:rPr>
        <w:t>señora</w:t>
      </w:r>
      <w:r w:rsidR="00B67616">
        <w:rPr>
          <w:rFonts w:ascii="Arial" w:hAnsi="Arial" w:cs="Arial"/>
        </w:rPr>
        <w:t xml:space="preserve"> Hidalgo fue nombrada como enlace del proyecto de auditoría mediante oficio </w:t>
      </w:r>
      <w:r w:rsidR="00B67616" w:rsidRPr="00B67616">
        <w:rPr>
          <w:rFonts w:ascii="Arial" w:hAnsi="Arial" w:cs="Arial"/>
        </w:rPr>
        <w:t>DM-0052-2022</w:t>
      </w:r>
      <w:r w:rsidR="00B67616">
        <w:rPr>
          <w:rFonts w:ascii="Arial" w:hAnsi="Arial" w:cs="Arial"/>
        </w:rPr>
        <w:t xml:space="preserve">, suscrito por </w:t>
      </w:r>
      <w:r w:rsidR="004F38A0">
        <w:rPr>
          <w:rFonts w:ascii="Arial" w:hAnsi="Arial" w:cs="Arial"/>
        </w:rPr>
        <w:t>señor</w:t>
      </w:r>
      <w:r w:rsidR="00B67616">
        <w:rPr>
          <w:rFonts w:ascii="Arial" w:hAnsi="Arial" w:cs="Arial"/>
        </w:rPr>
        <w:t xml:space="preserve"> </w:t>
      </w:r>
      <w:r w:rsidR="00B67616" w:rsidRPr="00B67616">
        <w:rPr>
          <w:rFonts w:ascii="Arial" w:hAnsi="Arial" w:cs="Arial"/>
        </w:rPr>
        <w:t>Elian Villegas Valverde</w:t>
      </w:r>
      <w:r w:rsidR="00B67616">
        <w:rPr>
          <w:rFonts w:ascii="Arial" w:hAnsi="Arial" w:cs="Arial"/>
        </w:rPr>
        <w:t>,</w:t>
      </w:r>
      <w:r w:rsidR="00E46F5C">
        <w:rPr>
          <w:rFonts w:ascii="Arial" w:hAnsi="Arial" w:cs="Arial"/>
        </w:rPr>
        <w:t xml:space="preserve"> en calidad de </w:t>
      </w:r>
      <w:proofErr w:type="gramStart"/>
      <w:r w:rsidR="004F38A0">
        <w:rPr>
          <w:rFonts w:ascii="Arial" w:hAnsi="Arial" w:cs="Arial"/>
        </w:rPr>
        <w:t>M</w:t>
      </w:r>
      <w:r w:rsidR="00B76A26">
        <w:rPr>
          <w:rFonts w:ascii="Arial" w:hAnsi="Arial" w:cs="Arial"/>
        </w:rPr>
        <w:t>inistro</w:t>
      </w:r>
      <w:proofErr w:type="gramEnd"/>
      <w:r w:rsidR="00B76A26">
        <w:rPr>
          <w:rFonts w:ascii="Arial" w:hAnsi="Arial" w:cs="Arial"/>
        </w:rPr>
        <w:t>, en</w:t>
      </w:r>
      <w:r w:rsidR="00B67616">
        <w:rPr>
          <w:rFonts w:ascii="Arial" w:hAnsi="Arial" w:cs="Arial"/>
        </w:rPr>
        <w:t xml:space="preserve"> fecha </w:t>
      </w:r>
      <w:r w:rsidR="004F38A0">
        <w:rPr>
          <w:rFonts w:ascii="Arial" w:hAnsi="Arial" w:cs="Arial"/>
        </w:rPr>
        <w:t xml:space="preserve">del </w:t>
      </w:r>
      <w:r w:rsidR="00B67616" w:rsidRPr="00B67616">
        <w:rPr>
          <w:rFonts w:ascii="Arial" w:hAnsi="Arial" w:cs="Arial"/>
        </w:rPr>
        <w:t>19 de enero de 2022</w:t>
      </w:r>
      <w:r w:rsidR="00B67616">
        <w:rPr>
          <w:rFonts w:ascii="Arial" w:hAnsi="Arial" w:cs="Arial"/>
        </w:rPr>
        <w:t>.</w:t>
      </w:r>
    </w:p>
    <w:p w14:paraId="2C412742" w14:textId="77777777" w:rsidR="008C51A6" w:rsidRDefault="008C51A6">
      <w:pPr>
        <w:autoSpaceDE w:val="0"/>
        <w:autoSpaceDN w:val="0"/>
        <w:adjustRightInd w:val="0"/>
        <w:contextualSpacing/>
        <w:jc w:val="both"/>
        <w:rPr>
          <w:rFonts w:ascii="Arial" w:hAnsi="Arial" w:cs="Arial"/>
        </w:rPr>
      </w:pPr>
    </w:p>
    <w:p w14:paraId="5A8BCDEB" w14:textId="3375676F" w:rsidR="008C51A6" w:rsidRPr="00EC1C05" w:rsidRDefault="008C51A6">
      <w:pPr>
        <w:autoSpaceDE w:val="0"/>
        <w:autoSpaceDN w:val="0"/>
        <w:adjustRightInd w:val="0"/>
        <w:contextualSpacing/>
        <w:jc w:val="both"/>
        <w:rPr>
          <w:rFonts w:ascii="Arial" w:hAnsi="Arial" w:cs="Arial"/>
        </w:rPr>
      </w:pPr>
      <w:r>
        <w:rPr>
          <w:rFonts w:ascii="Arial" w:hAnsi="Arial" w:cs="Arial"/>
        </w:rPr>
        <w:t xml:space="preserve">Asimismo, mediante oficio </w:t>
      </w:r>
      <w:r w:rsidRPr="008C51A6">
        <w:rPr>
          <w:rFonts w:ascii="Arial" w:hAnsi="Arial" w:cs="Arial"/>
        </w:rPr>
        <w:t>AI-170-2022,</w:t>
      </w:r>
      <w:r>
        <w:rPr>
          <w:rFonts w:ascii="Arial" w:hAnsi="Arial" w:cs="Arial"/>
        </w:rPr>
        <w:t xml:space="preserve"> fueron comunicados los criterios de evaluación al </w:t>
      </w:r>
      <w:r w:rsidR="009F6B8D">
        <w:rPr>
          <w:rFonts w:ascii="Arial" w:hAnsi="Arial" w:cs="Arial"/>
        </w:rPr>
        <w:t>señor</w:t>
      </w:r>
      <w:r>
        <w:rPr>
          <w:rFonts w:ascii="Arial" w:hAnsi="Arial" w:cs="Arial"/>
        </w:rPr>
        <w:t xml:space="preserve"> </w:t>
      </w:r>
      <w:r w:rsidR="009F6B8D">
        <w:rPr>
          <w:rFonts w:ascii="Arial" w:hAnsi="Arial" w:cs="Arial"/>
        </w:rPr>
        <w:t>Ministro de Hacienda</w:t>
      </w:r>
      <w:r>
        <w:rPr>
          <w:rFonts w:ascii="Arial" w:hAnsi="Arial" w:cs="Arial"/>
        </w:rPr>
        <w:t>.</w:t>
      </w:r>
    </w:p>
    <w:p w14:paraId="40679107" w14:textId="77777777" w:rsidR="003C0297" w:rsidRPr="0057432A" w:rsidRDefault="003C0297">
      <w:pPr>
        <w:autoSpaceDE w:val="0"/>
        <w:autoSpaceDN w:val="0"/>
        <w:adjustRightInd w:val="0"/>
        <w:contextualSpacing/>
        <w:jc w:val="both"/>
        <w:rPr>
          <w:rFonts w:ascii="Arial" w:hAnsi="Arial" w:cs="Arial"/>
        </w:rPr>
      </w:pPr>
    </w:p>
    <w:p w14:paraId="60339F85" w14:textId="77777777" w:rsidR="00A136E4" w:rsidRDefault="003C0297">
      <w:pPr>
        <w:autoSpaceDE w:val="0"/>
        <w:autoSpaceDN w:val="0"/>
        <w:adjustRightInd w:val="0"/>
        <w:contextualSpacing/>
        <w:jc w:val="both"/>
        <w:rPr>
          <w:rFonts w:ascii="Arial" w:hAnsi="Arial" w:cs="Arial"/>
        </w:rPr>
      </w:pPr>
      <w:r w:rsidRPr="0057432A">
        <w:rPr>
          <w:rFonts w:ascii="Arial" w:hAnsi="Arial" w:cs="Arial"/>
        </w:rPr>
        <w:t xml:space="preserve">Entre los criterios </w:t>
      </w:r>
      <w:r w:rsidR="00780F9F">
        <w:rPr>
          <w:rFonts w:ascii="Arial" w:hAnsi="Arial" w:cs="Arial"/>
        </w:rPr>
        <w:t>señalados</w:t>
      </w:r>
      <w:r w:rsidRPr="0057432A">
        <w:rPr>
          <w:rFonts w:ascii="Arial" w:hAnsi="Arial" w:cs="Arial"/>
        </w:rPr>
        <w:t xml:space="preserve"> se encuentran los siguientes: </w:t>
      </w:r>
      <w:r w:rsidR="008C51A6" w:rsidRPr="008C51A6">
        <w:rPr>
          <w:rFonts w:ascii="Arial" w:hAnsi="Arial" w:cs="Arial"/>
        </w:rPr>
        <w:t>Normas de Control Interno para el Sector Público (N-2-2009-CO-DFOE)</w:t>
      </w:r>
      <w:r w:rsidR="008C51A6">
        <w:rPr>
          <w:rFonts w:ascii="Arial" w:hAnsi="Arial" w:cs="Arial"/>
        </w:rPr>
        <w:t xml:space="preserve">, </w:t>
      </w:r>
      <w:r w:rsidR="008C51A6" w:rsidRPr="008C51A6">
        <w:rPr>
          <w:rFonts w:ascii="Arial" w:hAnsi="Arial" w:cs="Arial"/>
        </w:rPr>
        <w:t>Decreto N° 40199-MP, Apertura de los datos públicos</w:t>
      </w:r>
      <w:r w:rsidR="008C51A6">
        <w:rPr>
          <w:rFonts w:ascii="Arial" w:hAnsi="Arial" w:cs="Arial"/>
        </w:rPr>
        <w:t xml:space="preserve"> y la</w:t>
      </w:r>
      <w:r w:rsidR="008C51A6" w:rsidRPr="008C51A6">
        <w:rPr>
          <w:rFonts w:ascii="Arial" w:hAnsi="Arial" w:cs="Arial"/>
        </w:rPr>
        <w:t xml:space="preserve"> Guía Nacional para la Publicación de Datos Abiertos.</w:t>
      </w:r>
    </w:p>
    <w:p w14:paraId="377B9353" w14:textId="77777777" w:rsidR="008C51A6" w:rsidRDefault="008C51A6">
      <w:pPr>
        <w:autoSpaceDE w:val="0"/>
        <w:autoSpaceDN w:val="0"/>
        <w:adjustRightInd w:val="0"/>
        <w:contextualSpacing/>
        <w:jc w:val="both"/>
        <w:rPr>
          <w:rFonts w:ascii="Arial" w:hAnsi="Arial" w:cs="Arial"/>
          <w:sz w:val="24"/>
          <w:szCs w:val="24"/>
        </w:rPr>
      </w:pPr>
    </w:p>
    <w:p w14:paraId="1ACFA11C"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3" w:name="_Toc104793349"/>
      <w:r w:rsidRPr="00A136E4">
        <w:rPr>
          <w:rFonts w:ascii="Arial" w:hAnsi="Arial" w:cs="Arial"/>
          <w:b/>
          <w:color w:val="17365D"/>
          <w:sz w:val="24"/>
          <w:szCs w:val="24"/>
        </w:rPr>
        <w:t>Metodología aplicada</w:t>
      </w:r>
      <w:bookmarkEnd w:id="63"/>
    </w:p>
    <w:p w14:paraId="2A646D5D" w14:textId="77777777" w:rsidR="00FE7E57" w:rsidRDefault="00FE7E57">
      <w:pPr>
        <w:autoSpaceDE w:val="0"/>
        <w:autoSpaceDN w:val="0"/>
        <w:adjustRightInd w:val="0"/>
        <w:contextualSpacing/>
        <w:jc w:val="both"/>
        <w:rPr>
          <w:rFonts w:ascii="Arial" w:eastAsia="Times New Roman" w:hAnsi="Arial" w:cs="Arial"/>
          <w:color w:val="000000"/>
          <w:sz w:val="24"/>
          <w:szCs w:val="24"/>
        </w:rPr>
      </w:pPr>
    </w:p>
    <w:p w14:paraId="69C4597B" w14:textId="199B96AF" w:rsidR="0026707F" w:rsidRDefault="0026707F" w:rsidP="00B67616">
      <w:pPr>
        <w:autoSpaceDE w:val="0"/>
        <w:autoSpaceDN w:val="0"/>
        <w:adjustRightInd w:val="0"/>
        <w:contextualSpacing/>
        <w:jc w:val="both"/>
        <w:rPr>
          <w:rFonts w:ascii="Arial" w:hAnsi="Arial" w:cs="Arial"/>
        </w:rPr>
      </w:pPr>
      <w:r w:rsidRPr="003C7BE7">
        <w:rPr>
          <w:rFonts w:ascii="Arial" w:eastAsia="Times New Roman" w:hAnsi="Arial" w:cs="Arial"/>
          <w:color w:val="000000"/>
          <w:lang w:val="es-ES"/>
        </w:rPr>
        <w:t>La auditoría se realizó de conformidad con</w:t>
      </w:r>
      <w:r w:rsidR="009F6B8D">
        <w:rPr>
          <w:rFonts w:ascii="Arial" w:eastAsia="Times New Roman" w:hAnsi="Arial" w:cs="Arial"/>
          <w:color w:val="000000"/>
          <w:lang w:val="es-ES"/>
        </w:rPr>
        <w:t xml:space="preserve"> el Procedimiento General de Auditoría, </w:t>
      </w:r>
      <w:r w:rsidRPr="003C7BE7">
        <w:rPr>
          <w:rFonts w:ascii="Arial" w:eastAsia="Times New Roman" w:hAnsi="Arial" w:cs="Arial"/>
          <w:color w:val="000000"/>
          <w:lang w:val="es-ES"/>
        </w:rPr>
        <w:t>las Normas Generales de Auditoría para el Sector Público y demás normativa aplicable</w:t>
      </w:r>
      <w:r w:rsidRPr="003C7BE7">
        <w:rPr>
          <w:rFonts w:ascii="Arial" w:hAnsi="Arial" w:cs="Arial"/>
        </w:rPr>
        <w:t>.</w:t>
      </w:r>
    </w:p>
    <w:p w14:paraId="2CA9B593" w14:textId="5974F490" w:rsidR="00CC37D2" w:rsidRDefault="00CC37D2" w:rsidP="006C7F40">
      <w:pPr>
        <w:autoSpaceDE w:val="0"/>
        <w:autoSpaceDN w:val="0"/>
        <w:adjustRightInd w:val="0"/>
        <w:contextualSpacing/>
        <w:jc w:val="both"/>
        <w:rPr>
          <w:rFonts w:ascii="Arial" w:hAnsi="Arial" w:cs="Arial"/>
        </w:rPr>
      </w:pPr>
    </w:p>
    <w:p w14:paraId="76D7228F" w14:textId="4AFF8AA3" w:rsidR="001D1E17" w:rsidRDefault="001D1E17" w:rsidP="006C7F40">
      <w:pPr>
        <w:autoSpaceDE w:val="0"/>
        <w:autoSpaceDN w:val="0"/>
        <w:adjustRightInd w:val="0"/>
        <w:contextualSpacing/>
        <w:jc w:val="both"/>
        <w:rPr>
          <w:rFonts w:ascii="Arial" w:hAnsi="Arial" w:cs="Arial"/>
        </w:rPr>
      </w:pPr>
    </w:p>
    <w:p w14:paraId="4876793D" w14:textId="497DE4AC" w:rsidR="001D1E17" w:rsidRDefault="001D1E17" w:rsidP="006C7F40">
      <w:pPr>
        <w:autoSpaceDE w:val="0"/>
        <w:autoSpaceDN w:val="0"/>
        <w:adjustRightInd w:val="0"/>
        <w:contextualSpacing/>
        <w:jc w:val="both"/>
        <w:rPr>
          <w:rFonts w:ascii="Arial" w:hAnsi="Arial" w:cs="Arial"/>
        </w:rPr>
      </w:pPr>
    </w:p>
    <w:p w14:paraId="7DBA6CD4" w14:textId="7051C4C2" w:rsidR="001D1E17" w:rsidRDefault="001D1E17" w:rsidP="006C7F40">
      <w:pPr>
        <w:autoSpaceDE w:val="0"/>
        <w:autoSpaceDN w:val="0"/>
        <w:adjustRightInd w:val="0"/>
        <w:contextualSpacing/>
        <w:jc w:val="both"/>
        <w:rPr>
          <w:rFonts w:ascii="Arial" w:hAnsi="Arial" w:cs="Arial"/>
        </w:rPr>
      </w:pPr>
    </w:p>
    <w:p w14:paraId="0BF63E37" w14:textId="77777777" w:rsidR="001D1E17" w:rsidRDefault="001D1E17" w:rsidP="006C7F40">
      <w:pPr>
        <w:autoSpaceDE w:val="0"/>
        <w:autoSpaceDN w:val="0"/>
        <w:adjustRightInd w:val="0"/>
        <w:contextualSpacing/>
        <w:jc w:val="both"/>
        <w:rPr>
          <w:rFonts w:ascii="Arial" w:hAnsi="Arial" w:cs="Arial"/>
        </w:rPr>
      </w:pPr>
    </w:p>
    <w:p w14:paraId="05A7A5D8"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4" w:name="_Toc104793350"/>
      <w:r w:rsidRPr="00A136E4">
        <w:rPr>
          <w:rFonts w:ascii="Arial" w:hAnsi="Arial" w:cs="Arial"/>
          <w:b/>
          <w:color w:val="17365D"/>
          <w:sz w:val="24"/>
          <w:szCs w:val="24"/>
        </w:rPr>
        <w:lastRenderedPageBreak/>
        <w:t>Comunicación de resultados</w:t>
      </w:r>
      <w:bookmarkEnd w:id="44"/>
      <w:bookmarkEnd w:id="45"/>
      <w:bookmarkEnd w:id="46"/>
      <w:bookmarkEnd w:id="61"/>
      <w:bookmarkEnd w:id="64"/>
    </w:p>
    <w:p w14:paraId="0B91EFFE" w14:textId="77777777" w:rsidR="00FE7E57" w:rsidRDefault="00FE7E57">
      <w:pPr>
        <w:autoSpaceDE w:val="0"/>
        <w:autoSpaceDN w:val="0"/>
        <w:adjustRightInd w:val="0"/>
        <w:contextualSpacing/>
        <w:jc w:val="both"/>
        <w:rPr>
          <w:rFonts w:ascii="Arial" w:eastAsia="Times New Roman" w:hAnsi="Arial" w:cs="Arial"/>
          <w:color w:val="000000"/>
          <w:sz w:val="24"/>
          <w:szCs w:val="24"/>
          <w:highlight w:val="yellow"/>
        </w:rPr>
      </w:pPr>
    </w:p>
    <w:p w14:paraId="60D636BD" w14:textId="69DBEDE9" w:rsidR="00CC656E" w:rsidRDefault="00CC656E" w:rsidP="00CC656E">
      <w:pPr>
        <w:autoSpaceDE w:val="0"/>
        <w:autoSpaceDN w:val="0"/>
        <w:adjustRightInd w:val="0"/>
        <w:contextualSpacing/>
        <w:jc w:val="both"/>
        <w:rPr>
          <w:rFonts w:ascii="Arial" w:hAnsi="Arial" w:cs="Arial"/>
          <w:color w:val="000000"/>
        </w:rPr>
      </w:pPr>
      <w:bookmarkStart w:id="65" w:name="_Toc390783327"/>
      <w:bookmarkEnd w:id="47"/>
      <w:bookmarkEnd w:id="48"/>
      <w:r w:rsidRPr="00CC656E">
        <w:rPr>
          <w:rFonts w:ascii="Arial" w:eastAsia="Times New Roman" w:hAnsi="Arial" w:cs="Arial"/>
          <w:color w:val="000000"/>
        </w:rPr>
        <w:t xml:space="preserve">La comunicación preliminar de los resultados, conclusiones y recomendaciones producto de la auditoría se efectuó el </w:t>
      </w:r>
      <w:r>
        <w:rPr>
          <w:rFonts w:ascii="Arial" w:eastAsia="Times New Roman" w:hAnsi="Arial" w:cs="Arial"/>
          <w:color w:val="000000"/>
        </w:rPr>
        <w:t>20 de junio del 2022</w:t>
      </w:r>
      <w:r w:rsidRPr="00CC656E">
        <w:rPr>
          <w:rFonts w:ascii="Arial" w:eastAsia="Times New Roman" w:hAnsi="Arial" w:cs="Arial"/>
          <w:color w:val="000000"/>
        </w:rPr>
        <w:t>, a</w:t>
      </w:r>
      <w:r w:rsidR="009C2EA0">
        <w:rPr>
          <w:rFonts w:ascii="Arial" w:eastAsia="Times New Roman" w:hAnsi="Arial" w:cs="Arial"/>
          <w:color w:val="000000"/>
        </w:rPr>
        <w:t>l</w:t>
      </w:r>
      <w:r w:rsidRPr="00CC656E">
        <w:rPr>
          <w:rFonts w:ascii="Arial" w:eastAsia="Times New Roman" w:hAnsi="Arial" w:cs="Arial"/>
          <w:color w:val="000000"/>
        </w:rPr>
        <w:t xml:space="preserve"> Lic. </w:t>
      </w:r>
      <w:r>
        <w:rPr>
          <w:rFonts w:ascii="Arial" w:eastAsia="Times New Roman" w:hAnsi="Arial" w:cs="Arial"/>
          <w:color w:val="000000"/>
        </w:rPr>
        <w:t xml:space="preserve">Vladimir </w:t>
      </w:r>
      <w:r w:rsidRPr="00CC656E">
        <w:rPr>
          <w:rFonts w:ascii="Arial" w:eastAsia="Times New Roman" w:hAnsi="Arial" w:cs="Arial"/>
          <w:color w:val="000000"/>
        </w:rPr>
        <w:t>Villalobos González</w:t>
      </w:r>
      <w:r>
        <w:rPr>
          <w:rFonts w:ascii="Arial" w:eastAsia="Times New Roman" w:hAnsi="Arial" w:cs="Arial"/>
          <w:color w:val="000000"/>
        </w:rPr>
        <w:t xml:space="preserve">, </w:t>
      </w:r>
      <w:r w:rsidR="007A2045">
        <w:rPr>
          <w:rFonts w:ascii="Arial" w:eastAsia="Times New Roman" w:hAnsi="Arial" w:cs="Arial"/>
          <w:color w:val="000000"/>
        </w:rPr>
        <w:t>jefe</w:t>
      </w:r>
      <w:r w:rsidR="00CC2883">
        <w:rPr>
          <w:rFonts w:ascii="Arial" w:eastAsia="Times New Roman" w:hAnsi="Arial" w:cs="Arial"/>
          <w:color w:val="000000"/>
        </w:rPr>
        <w:t xml:space="preserve"> del d</w:t>
      </w:r>
      <w:r>
        <w:rPr>
          <w:rFonts w:ascii="Arial" w:eastAsia="Times New Roman" w:hAnsi="Arial" w:cs="Arial"/>
          <w:color w:val="000000"/>
        </w:rPr>
        <w:t xml:space="preserve">espacho, </w:t>
      </w:r>
      <w:r w:rsidRPr="00CC656E">
        <w:rPr>
          <w:rFonts w:ascii="Arial" w:hAnsi="Arial" w:cs="Arial"/>
          <w:color w:val="000000"/>
        </w:rPr>
        <w:t xml:space="preserve">Licda. </w:t>
      </w:r>
      <w:r>
        <w:rPr>
          <w:rFonts w:ascii="Arial" w:hAnsi="Arial" w:cs="Arial"/>
          <w:color w:val="000000"/>
        </w:rPr>
        <w:t>Rosaura Bermúdez Bermúdez</w:t>
      </w:r>
      <w:r w:rsidR="004662D8">
        <w:rPr>
          <w:rFonts w:ascii="Arial" w:hAnsi="Arial" w:cs="Arial"/>
          <w:color w:val="000000"/>
        </w:rPr>
        <w:t>,</w:t>
      </w:r>
      <w:r>
        <w:rPr>
          <w:rFonts w:ascii="Arial" w:hAnsi="Arial" w:cs="Arial"/>
          <w:color w:val="000000"/>
        </w:rPr>
        <w:t xml:space="preserve"> </w:t>
      </w:r>
      <w:r w:rsidR="007A2045">
        <w:rPr>
          <w:rFonts w:ascii="Arial" w:hAnsi="Arial" w:cs="Arial"/>
          <w:color w:val="000000"/>
        </w:rPr>
        <w:t>jefe</w:t>
      </w:r>
      <w:r>
        <w:rPr>
          <w:rFonts w:ascii="Arial" w:hAnsi="Arial" w:cs="Arial"/>
          <w:color w:val="000000"/>
        </w:rPr>
        <w:t xml:space="preserve"> de</w:t>
      </w:r>
      <w:r w:rsidR="00CC2883">
        <w:rPr>
          <w:rFonts w:ascii="Arial" w:hAnsi="Arial" w:cs="Arial"/>
          <w:color w:val="000000"/>
        </w:rPr>
        <w:t xml:space="preserve"> la Unidad de</w:t>
      </w:r>
      <w:r>
        <w:rPr>
          <w:rFonts w:ascii="Arial" w:hAnsi="Arial" w:cs="Arial"/>
          <w:color w:val="000000"/>
        </w:rPr>
        <w:t xml:space="preserve"> Comunicación Institucional, Lic. Wilberth Sibaja Picado, </w:t>
      </w:r>
      <w:r w:rsidR="007A2045">
        <w:rPr>
          <w:rFonts w:ascii="Arial" w:hAnsi="Arial" w:cs="Arial"/>
          <w:color w:val="000000"/>
        </w:rPr>
        <w:t>c</w:t>
      </w:r>
      <w:r>
        <w:rPr>
          <w:rFonts w:ascii="Arial" w:hAnsi="Arial" w:cs="Arial"/>
          <w:color w:val="000000"/>
        </w:rPr>
        <w:t xml:space="preserve">ontralor de Servicios y </w:t>
      </w:r>
      <w:r w:rsidR="007A2045">
        <w:rPr>
          <w:rFonts w:ascii="Arial" w:hAnsi="Arial" w:cs="Arial"/>
          <w:color w:val="000000"/>
        </w:rPr>
        <w:t>o</w:t>
      </w:r>
      <w:r>
        <w:rPr>
          <w:rFonts w:ascii="Arial" w:hAnsi="Arial" w:cs="Arial"/>
          <w:color w:val="000000"/>
        </w:rPr>
        <w:t xml:space="preserve">ficial de </w:t>
      </w:r>
      <w:r w:rsidR="007A2045">
        <w:rPr>
          <w:rFonts w:ascii="Arial" w:hAnsi="Arial" w:cs="Arial"/>
          <w:color w:val="000000"/>
        </w:rPr>
        <w:t>a</w:t>
      </w:r>
      <w:r>
        <w:rPr>
          <w:rFonts w:ascii="Arial" w:hAnsi="Arial" w:cs="Arial"/>
          <w:color w:val="000000"/>
        </w:rPr>
        <w:t>cceso a la información</w:t>
      </w:r>
      <w:r w:rsidR="004662D8">
        <w:rPr>
          <w:rFonts w:ascii="Arial" w:hAnsi="Arial" w:cs="Arial"/>
          <w:color w:val="000000"/>
        </w:rPr>
        <w:t xml:space="preserve"> y </w:t>
      </w:r>
      <w:r w:rsidR="004662D8" w:rsidRPr="004662D8">
        <w:rPr>
          <w:rFonts w:ascii="Arial" w:hAnsi="Arial" w:cs="Arial"/>
          <w:color w:val="000000"/>
        </w:rPr>
        <w:t>Patricia Chinchilla Morales, jef</w:t>
      </w:r>
      <w:r w:rsidR="007A2045">
        <w:rPr>
          <w:rFonts w:ascii="Arial" w:hAnsi="Arial" w:cs="Arial"/>
          <w:color w:val="000000"/>
        </w:rPr>
        <w:t>e</w:t>
      </w:r>
      <w:r w:rsidR="004662D8" w:rsidRPr="004662D8">
        <w:rPr>
          <w:rFonts w:ascii="Arial" w:hAnsi="Arial" w:cs="Arial"/>
          <w:color w:val="000000"/>
        </w:rPr>
        <w:t xml:space="preserve"> de la Unidad de Sistemas de Egresos y Administración Central</w:t>
      </w:r>
      <w:r w:rsidRPr="00CC656E">
        <w:rPr>
          <w:rFonts w:ascii="Arial" w:hAnsi="Arial" w:cs="Arial"/>
          <w:color w:val="000000"/>
        </w:rPr>
        <w:t>. Las observaciones realizadas por los participantes fueron consignadas en el informe en lo que resultaron procedentes. (Ver Anexo 1)</w:t>
      </w:r>
    </w:p>
    <w:p w14:paraId="674A9811" w14:textId="77777777" w:rsidR="00CC656E" w:rsidRPr="00CC656E" w:rsidRDefault="00CC656E" w:rsidP="00CC656E">
      <w:pPr>
        <w:autoSpaceDE w:val="0"/>
        <w:autoSpaceDN w:val="0"/>
        <w:adjustRightInd w:val="0"/>
        <w:contextualSpacing/>
        <w:jc w:val="both"/>
        <w:rPr>
          <w:rFonts w:ascii="Arial" w:hAnsi="Arial" w:cs="Arial"/>
          <w:color w:val="000000"/>
        </w:rPr>
      </w:pPr>
    </w:p>
    <w:p w14:paraId="0FAC3B0A" w14:textId="42BD2F40" w:rsidR="00CC656E" w:rsidRDefault="00CC656E" w:rsidP="00CC656E">
      <w:pPr>
        <w:autoSpaceDE w:val="0"/>
        <w:autoSpaceDN w:val="0"/>
        <w:adjustRightInd w:val="0"/>
        <w:contextualSpacing/>
        <w:jc w:val="both"/>
        <w:rPr>
          <w:rFonts w:ascii="Arial" w:hAnsi="Arial" w:cs="Arial"/>
          <w:color w:val="000000"/>
        </w:rPr>
      </w:pPr>
      <w:r w:rsidRPr="00CC656E">
        <w:rPr>
          <w:rFonts w:ascii="Arial" w:hAnsi="Arial" w:cs="Arial"/>
          <w:color w:val="000000"/>
        </w:rPr>
        <w:t xml:space="preserve">Mediante el oficio N° </w:t>
      </w:r>
      <w:r w:rsidR="004662D8">
        <w:rPr>
          <w:rFonts w:ascii="Arial" w:hAnsi="Arial" w:cs="Arial"/>
          <w:color w:val="000000"/>
        </w:rPr>
        <w:t>AI-411-2022, de fecha 02 de junio del 2022, se</w:t>
      </w:r>
      <w:r w:rsidRPr="00CC656E">
        <w:rPr>
          <w:rFonts w:ascii="Arial" w:hAnsi="Arial" w:cs="Arial"/>
          <w:color w:val="000000"/>
        </w:rPr>
        <w:t xml:space="preserve"> convocó a la Administración Activa a la exposición verbal de resultados y se remitió el borrador del informe para su conocimiento y envío de observaciones en caso de considerarlo pertinente.</w:t>
      </w:r>
    </w:p>
    <w:p w14:paraId="6ECA73E7" w14:textId="77777777" w:rsidR="004662D8" w:rsidRPr="00C04A43" w:rsidRDefault="004662D8" w:rsidP="00CC656E">
      <w:pPr>
        <w:autoSpaceDE w:val="0"/>
        <w:autoSpaceDN w:val="0"/>
        <w:adjustRightInd w:val="0"/>
        <w:contextualSpacing/>
        <w:jc w:val="both"/>
        <w:rPr>
          <w:rFonts w:ascii="Arial" w:hAnsi="Arial" w:cs="Arial"/>
          <w:color w:val="000000"/>
        </w:rPr>
      </w:pPr>
    </w:p>
    <w:p w14:paraId="4DD6608F"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6" w:name="_Toc104793351"/>
      <w:r w:rsidRPr="00A136E4">
        <w:rPr>
          <w:rFonts w:ascii="Arial" w:hAnsi="Arial" w:cs="Arial"/>
          <w:b/>
          <w:color w:val="17365D"/>
          <w:sz w:val="24"/>
          <w:szCs w:val="24"/>
        </w:rPr>
        <w:t>Normativa relacionada con el control interno</w:t>
      </w:r>
      <w:bookmarkEnd w:id="66"/>
    </w:p>
    <w:p w14:paraId="34433F8B" w14:textId="77777777" w:rsidR="00C015B2" w:rsidRDefault="00C015B2">
      <w:pPr>
        <w:autoSpaceDE w:val="0"/>
        <w:autoSpaceDN w:val="0"/>
        <w:adjustRightInd w:val="0"/>
        <w:contextualSpacing/>
        <w:jc w:val="both"/>
        <w:rPr>
          <w:rFonts w:ascii="Arial" w:eastAsia="Times New Roman" w:hAnsi="Arial" w:cs="Arial"/>
          <w:color w:val="000000"/>
          <w:sz w:val="24"/>
          <w:szCs w:val="24"/>
        </w:rPr>
      </w:pPr>
    </w:p>
    <w:bookmarkEnd w:id="49"/>
    <w:bookmarkEnd w:id="50"/>
    <w:bookmarkEnd w:id="51"/>
    <w:bookmarkEnd w:id="65"/>
    <w:p w14:paraId="12E97910" w14:textId="77777777" w:rsidR="00780F9F" w:rsidRPr="00780F9F" w:rsidRDefault="00780F9F">
      <w:pPr>
        <w:autoSpaceDE w:val="0"/>
        <w:autoSpaceDN w:val="0"/>
        <w:adjustRightInd w:val="0"/>
        <w:contextualSpacing/>
        <w:jc w:val="both"/>
        <w:rPr>
          <w:rFonts w:ascii="Arial" w:hAnsi="Arial" w:cs="Arial"/>
          <w:color w:val="000000"/>
        </w:rPr>
      </w:pPr>
      <w:r w:rsidRPr="00780F9F">
        <w:rPr>
          <w:rFonts w:ascii="Arial" w:hAnsi="Arial" w:cs="Arial"/>
          <w:color w:val="000000"/>
        </w:rPr>
        <w:t>Este informe debe tramitarse de acuerdo con los alcances establecidos en la Ley General de Control Interno (Ley N°8292) y el Manual para la Atención de los Informes de la Contraloría General de la República y de la Dirección General de Auditoría Interna en el Ministerio de Hacienda (Decreto N°34323-H).</w:t>
      </w:r>
    </w:p>
    <w:p w14:paraId="21D60BD1" w14:textId="77777777" w:rsidR="004644EB" w:rsidRPr="0057432A" w:rsidRDefault="004644EB">
      <w:pPr>
        <w:autoSpaceDE w:val="0"/>
        <w:autoSpaceDN w:val="0"/>
        <w:adjustRightInd w:val="0"/>
        <w:contextualSpacing/>
        <w:jc w:val="both"/>
        <w:rPr>
          <w:rFonts w:ascii="Arial" w:eastAsia="Times New Roman" w:hAnsi="Arial" w:cs="Arial"/>
          <w:color w:val="000000"/>
        </w:rPr>
      </w:pPr>
    </w:p>
    <w:p w14:paraId="2B9022D3"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7" w:name="_Toc390783328"/>
      <w:bookmarkStart w:id="68" w:name="_Toc104793352"/>
      <w:r w:rsidRPr="00A136E4">
        <w:rPr>
          <w:rFonts w:ascii="Arial" w:hAnsi="Arial" w:cs="Arial"/>
          <w:b/>
          <w:color w:val="17365D"/>
          <w:sz w:val="24"/>
          <w:szCs w:val="24"/>
        </w:rPr>
        <w:t>Generalidades</w:t>
      </w:r>
      <w:bookmarkEnd w:id="52"/>
      <w:bookmarkEnd w:id="53"/>
      <w:bookmarkEnd w:id="67"/>
      <w:bookmarkEnd w:id="68"/>
    </w:p>
    <w:p w14:paraId="5394C095" w14:textId="77777777" w:rsidR="00BF189C" w:rsidRDefault="00BF189C">
      <w:pPr>
        <w:autoSpaceDE w:val="0"/>
        <w:autoSpaceDN w:val="0"/>
        <w:adjustRightInd w:val="0"/>
        <w:contextualSpacing/>
        <w:jc w:val="both"/>
        <w:rPr>
          <w:rFonts w:ascii="Arial" w:hAnsi="Arial" w:cs="Arial"/>
          <w:sz w:val="24"/>
          <w:szCs w:val="24"/>
          <w:lang w:eastAsia="es-CR"/>
        </w:rPr>
      </w:pPr>
    </w:p>
    <w:p w14:paraId="0CACFC5C" w14:textId="36887D3F" w:rsidR="004C0E5F" w:rsidRDefault="00DF6672">
      <w:pPr>
        <w:autoSpaceDE w:val="0"/>
        <w:autoSpaceDN w:val="0"/>
        <w:adjustRightInd w:val="0"/>
        <w:contextualSpacing/>
        <w:jc w:val="both"/>
        <w:rPr>
          <w:rFonts w:ascii="Arial" w:hAnsi="Arial" w:cs="Arial"/>
          <w:lang w:eastAsia="es-CR"/>
        </w:rPr>
      </w:pPr>
      <w:r>
        <w:rPr>
          <w:rFonts w:ascii="Arial" w:hAnsi="Arial" w:cs="Arial"/>
          <w:lang w:eastAsia="es-CR"/>
        </w:rPr>
        <w:t>El decreto ejecutivo N° 40199-MP, denominado “Apertura de Datos Públicos”</w:t>
      </w:r>
      <w:r w:rsidR="00E46F5C">
        <w:rPr>
          <w:rFonts w:ascii="Arial" w:hAnsi="Arial" w:cs="Arial"/>
          <w:lang w:eastAsia="es-CR"/>
        </w:rPr>
        <w:t xml:space="preserve"> </w:t>
      </w:r>
      <w:r w:rsidR="00E46F5C">
        <w:rPr>
          <w:rStyle w:val="Refdenotaalpie"/>
          <w:rFonts w:ascii="Arial" w:hAnsi="Arial" w:cs="Arial"/>
          <w:lang w:eastAsia="es-CR"/>
        </w:rPr>
        <w:footnoteReference w:id="2"/>
      </w:r>
      <w:r>
        <w:rPr>
          <w:rFonts w:ascii="Arial" w:hAnsi="Arial" w:cs="Arial"/>
          <w:lang w:eastAsia="es-CR"/>
        </w:rPr>
        <w:t xml:space="preserve">, define un </w:t>
      </w:r>
      <w:r w:rsidRPr="00DF6672">
        <w:rPr>
          <w:rFonts w:ascii="Arial" w:hAnsi="Arial" w:cs="Arial"/>
          <w:lang w:eastAsia="es-CR"/>
        </w:rPr>
        <w:t xml:space="preserve">marco de referencia para </w:t>
      </w:r>
      <w:r>
        <w:rPr>
          <w:rFonts w:ascii="Arial" w:hAnsi="Arial" w:cs="Arial"/>
          <w:lang w:eastAsia="es-CR"/>
        </w:rPr>
        <w:t>la</w:t>
      </w:r>
      <w:r w:rsidRPr="00DF6672">
        <w:rPr>
          <w:rFonts w:ascii="Arial" w:hAnsi="Arial" w:cs="Arial"/>
          <w:lang w:eastAsia="es-CR"/>
        </w:rPr>
        <w:t xml:space="preserve"> Apertura de Datos Públicos</w:t>
      </w:r>
      <w:r>
        <w:rPr>
          <w:rFonts w:ascii="Arial" w:hAnsi="Arial" w:cs="Arial"/>
          <w:lang w:eastAsia="es-CR"/>
        </w:rPr>
        <w:t xml:space="preserve"> </w:t>
      </w:r>
      <w:r w:rsidR="00A279EB">
        <w:rPr>
          <w:rFonts w:ascii="Arial" w:hAnsi="Arial" w:cs="Arial"/>
          <w:lang w:eastAsia="es-CR"/>
        </w:rPr>
        <w:t xml:space="preserve">en </w:t>
      </w:r>
      <w:r>
        <w:rPr>
          <w:rFonts w:ascii="Arial" w:hAnsi="Arial" w:cs="Arial"/>
          <w:lang w:eastAsia="es-CR"/>
        </w:rPr>
        <w:t>las Instituciones</w:t>
      </w:r>
      <w:r w:rsidR="009F6B8D">
        <w:rPr>
          <w:rFonts w:ascii="Arial" w:hAnsi="Arial" w:cs="Arial"/>
          <w:lang w:eastAsia="es-CR"/>
        </w:rPr>
        <w:t>;</w:t>
      </w:r>
      <w:r>
        <w:rPr>
          <w:rFonts w:ascii="Arial" w:hAnsi="Arial" w:cs="Arial"/>
          <w:lang w:eastAsia="es-CR"/>
        </w:rPr>
        <w:t xml:space="preserve"> </w:t>
      </w:r>
      <w:r w:rsidR="009F6B8D">
        <w:rPr>
          <w:rFonts w:ascii="Arial" w:hAnsi="Arial" w:cs="Arial"/>
          <w:lang w:eastAsia="es-CR"/>
        </w:rPr>
        <w:t>a</w:t>
      </w:r>
      <w:r w:rsidR="00E32609">
        <w:rPr>
          <w:rFonts w:ascii="Arial" w:hAnsi="Arial" w:cs="Arial"/>
          <w:lang w:eastAsia="es-CR"/>
        </w:rPr>
        <w:t>simismo,</w:t>
      </w:r>
      <w:r>
        <w:rPr>
          <w:rFonts w:ascii="Arial" w:hAnsi="Arial" w:cs="Arial"/>
          <w:lang w:eastAsia="es-CR"/>
        </w:rPr>
        <w:t xml:space="preserve"> norma las funciones y conformación de</w:t>
      </w:r>
      <w:r w:rsidR="00A279EB">
        <w:rPr>
          <w:rFonts w:ascii="Arial" w:hAnsi="Arial" w:cs="Arial"/>
          <w:lang w:eastAsia="es-CR"/>
        </w:rPr>
        <w:t xml:space="preserve"> la</w:t>
      </w:r>
      <w:r>
        <w:rPr>
          <w:rFonts w:ascii="Arial" w:hAnsi="Arial" w:cs="Arial"/>
          <w:lang w:eastAsia="es-CR"/>
        </w:rPr>
        <w:t xml:space="preserve"> </w:t>
      </w:r>
      <w:r w:rsidRPr="00DF6672">
        <w:rPr>
          <w:rFonts w:ascii="Arial" w:hAnsi="Arial" w:cs="Arial"/>
          <w:lang w:eastAsia="es-CR"/>
        </w:rPr>
        <w:t>Comisión Nacional de Datos Abiertos</w:t>
      </w:r>
      <w:r>
        <w:rPr>
          <w:rFonts w:ascii="Arial" w:hAnsi="Arial" w:cs="Arial"/>
          <w:lang w:eastAsia="es-CR"/>
        </w:rPr>
        <w:t xml:space="preserve"> y l</w:t>
      </w:r>
      <w:r w:rsidRPr="00DF6672">
        <w:rPr>
          <w:rFonts w:ascii="Arial" w:hAnsi="Arial" w:cs="Arial"/>
          <w:lang w:eastAsia="es-CR"/>
        </w:rPr>
        <w:t>a Secretaría Técnica de la Política Nacional de Apertura de Datos Públicos.</w:t>
      </w:r>
    </w:p>
    <w:p w14:paraId="6359FBEF" w14:textId="77777777" w:rsidR="00DF6672" w:rsidRDefault="00DF6672">
      <w:pPr>
        <w:autoSpaceDE w:val="0"/>
        <w:autoSpaceDN w:val="0"/>
        <w:adjustRightInd w:val="0"/>
        <w:contextualSpacing/>
        <w:jc w:val="both"/>
        <w:rPr>
          <w:rFonts w:ascii="Arial" w:hAnsi="Arial" w:cs="Arial"/>
          <w:lang w:eastAsia="es-CR"/>
        </w:rPr>
      </w:pPr>
    </w:p>
    <w:p w14:paraId="0E22E79A" w14:textId="008A3F71" w:rsidR="00DF6672" w:rsidRDefault="00756C5D">
      <w:pPr>
        <w:autoSpaceDE w:val="0"/>
        <w:autoSpaceDN w:val="0"/>
        <w:adjustRightInd w:val="0"/>
        <w:contextualSpacing/>
        <w:jc w:val="both"/>
        <w:rPr>
          <w:rFonts w:ascii="Arial" w:hAnsi="Arial" w:cs="Arial"/>
          <w:lang w:eastAsia="es-CR"/>
        </w:rPr>
      </w:pPr>
      <w:r>
        <w:rPr>
          <w:rFonts w:ascii="Arial" w:hAnsi="Arial" w:cs="Arial"/>
          <w:lang w:eastAsia="es-CR"/>
        </w:rPr>
        <w:t xml:space="preserve">Además, </w:t>
      </w:r>
      <w:r w:rsidR="00DF6672">
        <w:rPr>
          <w:rFonts w:ascii="Arial" w:hAnsi="Arial" w:cs="Arial"/>
          <w:lang w:eastAsia="es-CR"/>
        </w:rPr>
        <w:t xml:space="preserve">el </w:t>
      </w:r>
      <w:r w:rsidR="00FB3F79">
        <w:rPr>
          <w:rFonts w:ascii="Arial" w:hAnsi="Arial" w:cs="Arial"/>
          <w:lang w:eastAsia="es-CR"/>
        </w:rPr>
        <w:t xml:space="preserve">citado </w:t>
      </w:r>
      <w:r w:rsidR="00DF6672">
        <w:rPr>
          <w:rFonts w:ascii="Arial" w:hAnsi="Arial" w:cs="Arial"/>
          <w:lang w:eastAsia="es-CR"/>
        </w:rPr>
        <w:t xml:space="preserve">decreto </w:t>
      </w:r>
      <w:r w:rsidR="00A279EB">
        <w:rPr>
          <w:rFonts w:ascii="Arial" w:hAnsi="Arial" w:cs="Arial"/>
          <w:lang w:eastAsia="es-CR"/>
        </w:rPr>
        <w:t>establece</w:t>
      </w:r>
      <w:r w:rsidR="00DF6672">
        <w:rPr>
          <w:rFonts w:ascii="Arial" w:hAnsi="Arial" w:cs="Arial"/>
          <w:lang w:eastAsia="es-CR"/>
        </w:rPr>
        <w:t xml:space="preserve"> </w:t>
      </w:r>
      <w:r w:rsidR="00561B50">
        <w:rPr>
          <w:rFonts w:ascii="Arial" w:hAnsi="Arial" w:cs="Arial"/>
          <w:lang w:eastAsia="es-CR"/>
        </w:rPr>
        <w:t xml:space="preserve">la creación de </w:t>
      </w:r>
      <w:r w:rsidR="00DF6672">
        <w:rPr>
          <w:rFonts w:ascii="Arial" w:hAnsi="Arial" w:cs="Arial"/>
          <w:lang w:eastAsia="es-CR"/>
        </w:rPr>
        <w:t>un</w:t>
      </w:r>
      <w:r w:rsidR="00DF6672" w:rsidRPr="00DF6672">
        <w:rPr>
          <w:rFonts w:ascii="Arial" w:hAnsi="Arial" w:cs="Arial"/>
          <w:lang w:eastAsia="es-CR"/>
        </w:rPr>
        <w:t xml:space="preserve"> Grupo de Enlaces Institucionales conformado por las personas funcionarias designadas como oficiales de acceso a la información, según el Decreto Ejecutivo número 40200-MP-MEIC-MC del 27 de abril de 2017</w:t>
      </w:r>
      <w:r w:rsidR="00DF6672">
        <w:rPr>
          <w:rFonts w:ascii="Arial" w:hAnsi="Arial" w:cs="Arial"/>
          <w:lang w:eastAsia="es-CR"/>
        </w:rPr>
        <w:t>, encargando a esas personas</w:t>
      </w:r>
      <w:r w:rsidR="00A279EB">
        <w:rPr>
          <w:rFonts w:ascii="Arial" w:hAnsi="Arial" w:cs="Arial"/>
          <w:lang w:eastAsia="es-CR"/>
        </w:rPr>
        <w:t xml:space="preserve"> nombradas</w:t>
      </w:r>
      <w:r w:rsidR="00DF6672">
        <w:rPr>
          <w:rFonts w:ascii="Arial" w:hAnsi="Arial" w:cs="Arial"/>
          <w:lang w:eastAsia="es-CR"/>
        </w:rPr>
        <w:t xml:space="preserve"> </w:t>
      </w:r>
      <w:r w:rsidR="009F6B8D">
        <w:rPr>
          <w:rFonts w:ascii="Arial" w:hAnsi="Arial" w:cs="Arial"/>
          <w:lang w:eastAsia="es-CR"/>
        </w:rPr>
        <w:t xml:space="preserve">de </w:t>
      </w:r>
      <w:r w:rsidR="00DF6672" w:rsidRPr="00DF6672">
        <w:rPr>
          <w:rFonts w:ascii="Arial" w:hAnsi="Arial" w:cs="Arial"/>
          <w:lang w:eastAsia="es-CR"/>
        </w:rPr>
        <w:t>liderar el proceso de publicación de datos abiertos con un equipo multidisciplinario de la institución</w:t>
      </w:r>
      <w:r w:rsidR="00DF6672">
        <w:rPr>
          <w:rFonts w:ascii="Arial" w:hAnsi="Arial" w:cs="Arial"/>
          <w:lang w:eastAsia="es-CR"/>
        </w:rPr>
        <w:t xml:space="preserve">. </w:t>
      </w:r>
    </w:p>
    <w:p w14:paraId="6C1BC85F" w14:textId="77777777" w:rsidR="00101B84" w:rsidRDefault="00101B84">
      <w:pPr>
        <w:autoSpaceDE w:val="0"/>
        <w:autoSpaceDN w:val="0"/>
        <w:adjustRightInd w:val="0"/>
        <w:contextualSpacing/>
        <w:jc w:val="both"/>
        <w:rPr>
          <w:rFonts w:ascii="Arial" w:hAnsi="Arial" w:cs="Arial"/>
          <w:lang w:eastAsia="es-CR"/>
        </w:rPr>
      </w:pPr>
    </w:p>
    <w:p w14:paraId="00E2E505" w14:textId="1B25EA5A" w:rsidR="00101B84" w:rsidRDefault="009F6B8D">
      <w:pPr>
        <w:autoSpaceDE w:val="0"/>
        <w:autoSpaceDN w:val="0"/>
        <w:adjustRightInd w:val="0"/>
        <w:contextualSpacing/>
        <w:jc w:val="both"/>
        <w:rPr>
          <w:rFonts w:ascii="Arial" w:hAnsi="Arial" w:cs="Arial"/>
          <w:lang w:eastAsia="es-CR"/>
        </w:rPr>
      </w:pPr>
      <w:r>
        <w:rPr>
          <w:rFonts w:ascii="Arial" w:hAnsi="Arial" w:cs="Arial"/>
          <w:lang w:eastAsia="es-CR"/>
        </w:rPr>
        <w:t>Adicionalmente</w:t>
      </w:r>
      <w:r w:rsidR="00101B84">
        <w:rPr>
          <w:rFonts w:ascii="Arial" w:hAnsi="Arial" w:cs="Arial"/>
          <w:lang w:eastAsia="es-CR"/>
        </w:rPr>
        <w:t>, l</w:t>
      </w:r>
      <w:r w:rsidR="00101B84" w:rsidRPr="00101B84">
        <w:rPr>
          <w:rFonts w:ascii="Arial" w:hAnsi="Arial" w:cs="Arial"/>
          <w:lang w:eastAsia="es-CR"/>
        </w:rPr>
        <w:t xml:space="preserve">a </w:t>
      </w:r>
      <w:bookmarkStart w:id="69" w:name="_Hlk99113009"/>
      <w:r w:rsidR="00101B84" w:rsidRPr="00101B84">
        <w:rPr>
          <w:rFonts w:ascii="Arial" w:hAnsi="Arial" w:cs="Arial"/>
          <w:lang w:eastAsia="es-CR"/>
        </w:rPr>
        <w:t>Guía Nacional para la Publicación de Datos Abiertos</w:t>
      </w:r>
      <w:bookmarkEnd w:id="69"/>
      <w:r w:rsidR="00CC16A2" w:rsidRPr="00CC16A2">
        <w:rPr>
          <w:rFonts w:ascii="Arial" w:hAnsi="Arial" w:cs="Arial"/>
          <w:lang w:eastAsia="es-CR"/>
        </w:rPr>
        <w:t xml:space="preserve"> </w:t>
      </w:r>
      <w:r w:rsidR="00CC16A2">
        <w:rPr>
          <w:rFonts w:ascii="Arial" w:hAnsi="Arial" w:cs="Arial"/>
          <w:lang w:eastAsia="es-CR"/>
        </w:rPr>
        <w:t>es</w:t>
      </w:r>
      <w:r w:rsidR="00101B84">
        <w:rPr>
          <w:rFonts w:ascii="Arial" w:hAnsi="Arial" w:cs="Arial"/>
          <w:lang w:eastAsia="es-CR"/>
        </w:rPr>
        <w:t xml:space="preserve"> un </w:t>
      </w:r>
      <w:r w:rsidR="00101B84" w:rsidRPr="00101B84">
        <w:rPr>
          <w:rFonts w:ascii="Arial" w:hAnsi="Arial" w:cs="Arial"/>
          <w:lang w:eastAsia="es-CR"/>
        </w:rPr>
        <w:t xml:space="preserve">instrumento que define </w:t>
      </w:r>
      <w:r w:rsidR="00660E0F">
        <w:rPr>
          <w:rFonts w:ascii="Arial" w:hAnsi="Arial" w:cs="Arial"/>
          <w:lang w:eastAsia="es-CR"/>
        </w:rPr>
        <w:t xml:space="preserve">el proceso </w:t>
      </w:r>
      <w:r w:rsidR="00101B84" w:rsidRPr="00101B84">
        <w:rPr>
          <w:rFonts w:ascii="Arial" w:hAnsi="Arial" w:cs="Arial"/>
          <w:lang w:eastAsia="es-CR"/>
        </w:rPr>
        <w:t>a seguir por las instituciones</w:t>
      </w:r>
      <w:r w:rsidR="00101B84">
        <w:rPr>
          <w:rFonts w:ascii="Arial" w:hAnsi="Arial" w:cs="Arial"/>
          <w:lang w:eastAsia="es-CR"/>
        </w:rPr>
        <w:t xml:space="preserve"> </w:t>
      </w:r>
      <w:r w:rsidR="00101B84" w:rsidRPr="00101B84">
        <w:rPr>
          <w:rFonts w:ascii="Arial" w:hAnsi="Arial" w:cs="Arial"/>
          <w:lang w:eastAsia="es-CR"/>
        </w:rPr>
        <w:t>públicas y por los equipos institucionales de datos abiertos</w:t>
      </w:r>
      <w:r w:rsidR="00101B84">
        <w:rPr>
          <w:rFonts w:ascii="Arial" w:hAnsi="Arial" w:cs="Arial"/>
          <w:lang w:eastAsia="es-CR"/>
        </w:rPr>
        <w:t>. En este documento</w:t>
      </w:r>
      <w:r>
        <w:rPr>
          <w:rFonts w:ascii="Arial" w:hAnsi="Arial" w:cs="Arial"/>
          <w:lang w:eastAsia="es-CR"/>
        </w:rPr>
        <w:t>,</w:t>
      </w:r>
      <w:r w:rsidR="00101B84">
        <w:rPr>
          <w:rFonts w:ascii="Arial" w:hAnsi="Arial" w:cs="Arial"/>
          <w:lang w:eastAsia="es-CR"/>
        </w:rPr>
        <w:t xml:space="preserve"> se</w:t>
      </w:r>
      <w:r w:rsidR="00101B84" w:rsidRPr="00101B84">
        <w:rPr>
          <w:rFonts w:ascii="Arial" w:hAnsi="Arial" w:cs="Arial"/>
          <w:lang w:eastAsia="es-CR"/>
        </w:rPr>
        <w:t xml:space="preserve"> indican las etapas que conforman el</w:t>
      </w:r>
      <w:r w:rsidR="00101B84">
        <w:rPr>
          <w:rFonts w:ascii="Arial" w:hAnsi="Arial" w:cs="Arial"/>
          <w:lang w:eastAsia="es-CR"/>
        </w:rPr>
        <w:t xml:space="preserve"> </w:t>
      </w:r>
      <w:r w:rsidR="00101B84" w:rsidRPr="00101B84">
        <w:rPr>
          <w:rFonts w:ascii="Arial" w:hAnsi="Arial" w:cs="Arial"/>
          <w:lang w:eastAsia="es-CR"/>
        </w:rPr>
        <w:t>proceso de apertura de datos</w:t>
      </w:r>
      <w:r w:rsidR="00101B84">
        <w:rPr>
          <w:rFonts w:ascii="Arial" w:hAnsi="Arial" w:cs="Arial"/>
          <w:lang w:eastAsia="es-CR"/>
        </w:rPr>
        <w:t>, una explicación de los procesos que involucra</w:t>
      </w:r>
      <w:r w:rsidR="00187437">
        <w:rPr>
          <w:rFonts w:ascii="Arial" w:hAnsi="Arial" w:cs="Arial"/>
          <w:lang w:eastAsia="es-CR"/>
        </w:rPr>
        <w:t xml:space="preserve">, </w:t>
      </w:r>
      <w:r w:rsidR="00101B84" w:rsidRPr="00101B84">
        <w:rPr>
          <w:rFonts w:ascii="Arial" w:hAnsi="Arial" w:cs="Arial"/>
          <w:lang w:eastAsia="es-CR"/>
        </w:rPr>
        <w:t>especificaciones técnicas y estándares para ejecutar de forma</w:t>
      </w:r>
      <w:r w:rsidR="00101B84">
        <w:rPr>
          <w:rFonts w:ascii="Arial" w:hAnsi="Arial" w:cs="Arial"/>
          <w:lang w:eastAsia="es-CR"/>
        </w:rPr>
        <w:t xml:space="preserve"> </w:t>
      </w:r>
      <w:r w:rsidR="00101B84" w:rsidRPr="00101B84">
        <w:rPr>
          <w:rFonts w:ascii="Arial" w:hAnsi="Arial" w:cs="Arial"/>
          <w:lang w:eastAsia="es-CR"/>
        </w:rPr>
        <w:t>normalizada el proceso</w:t>
      </w:r>
      <w:r w:rsidR="00101B84">
        <w:rPr>
          <w:rFonts w:ascii="Arial" w:hAnsi="Arial" w:cs="Arial"/>
          <w:lang w:eastAsia="es-CR"/>
        </w:rPr>
        <w:t xml:space="preserve">. </w:t>
      </w:r>
    </w:p>
    <w:p w14:paraId="1B7891B6" w14:textId="77777777" w:rsidR="00DF6672" w:rsidRDefault="00DF6672">
      <w:pPr>
        <w:autoSpaceDE w:val="0"/>
        <w:autoSpaceDN w:val="0"/>
        <w:adjustRightInd w:val="0"/>
        <w:contextualSpacing/>
        <w:jc w:val="both"/>
        <w:rPr>
          <w:rFonts w:ascii="Arial" w:hAnsi="Arial" w:cs="Arial"/>
          <w:lang w:eastAsia="es-CR"/>
        </w:rPr>
      </w:pPr>
    </w:p>
    <w:p w14:paraId="7B7AC2FD" w14:textId="5D2F7308" w:rsidR="00CB4A57" w:rsidRDefault="009F6B8D" w:rsidP="00CB4A57">
      <w:pPr>
        <w:autoSpaceDE w:val="0"/>
        <w:autoSpaceDN w:val="0"/>
        <w:adjustRightInd w:val="0"/>
        <w:contextualSpacing/>
        <w:jc w:val="both"/>
        <w:rPr>
          <w:rFonts w:ascii="Arial" w:hAnsi="Arial" w:cs="Arial"/>
          <w:lang w:eastAsia="es-CR"/>
        </w:rPr>
      </w:pPr>
      <w:bookmarkStart w:id="70" w:name="_Hlk103858254"/>
      <w:r>
        <w:rPr>
          <w:rFonts w:ascii="Arial" w:hAnsi="Arial" w:cs="Arial"/>
          <w:lang w:eastAsia="es-CR"/>
        </w:rPr>
        <w:t>Al respecto, l</w:t>
      </w:r>
      <w:r w:rsidR="00BF2CA1">
        <w:rPr>
          <w:rFonts w:ascii="Arial" w:hAnsi="Arial" w:cs="Arial"/>
          <w:lang w:eastAsia="es-CR"/>
        </w:rPr>
        <w:t xml:space="preserve">a </w:t>
      </w:r>
      <w:r w:rsidR="00BF2CA1" w:rsidRPr="00BF2CA1">
        <w:rPr>
          <w:rFonts w:ascii="Arial" w:hAnsi="Arial" w:cs="Arial"/>
          <w:lang w:eastAsia="es-CR"/>
        </w:rPr>
        <w:t>Defensoría de</w:t>
      </w:r>
      <w:r w:rsidR="00A35AC4">
        <w:rPr>
          <w:rFonts w:ascii="Arial" w:hAnsi="Arial" w:cs="Arial"/>
          <w:lang w:eastAsia="es-CR"/>
        </w:rPr>
        <w:t xml:space="preserve"> los</w:t>
      </w:r>
      <w:r w:rsidR="00BF2CA1" w:rsidRPr="00BF2CA1">
        <w:rPr>
          <w:rFonts w:ascii="Arial" w:hAnsi="Arial" w:cs="Arial"/>
          <w:lang w:eastAsia="es-CR"/>
        </w:rPr>
        <w:t xml:space="preserve"> Habitantes y el Centro de Investigación y Capacitación Ciudadana en Administración Pública</w:t>
      </w:r>
      <w:bookmarkEnd w:id="70"/>
      <w:r w:rsidR="0026707F">
        <w:rPr>
          <w:rFonts w:ascii="Arial" w:hAnsi="Arial" w:cs="Arial"/>
          <w:lang w:eastAsia="es-CR"/>
        </w:rPr>
        <w:t xml:space="preserve"> ha elaborado un indicador relacionado a la apertura de datos abiertos a nivel </w:t>
      </w:r>
      <w:r w:rsidR="00B67616">
        <w:rPr>
          <w:rFonts w:ascii="Arial" w:hAnsi="Arial" w:cs="Arial"/>
          <w:lang w:eastAsia="es-CR"/>
        </w:rPr>
        <w:t>nacional, denominado</w:t>
      </w:r>
      <w:r w:rsidR="00BF2CA1">
        <w:rPr>
          <w:rFonts w:ascii="Arial" w:hAnsi="Arial" w:cs="Arial"/>
          <w:lang w:eastAsia="es-CR"/>
        </w:rPr>
        <w:t xml:space="preserve"> “Índice de Transparencia del Sector Público”</w:t>
      </w:r>
      <w:r w:rsidR="00CB4A57">
        <w:rPr>
          <w:rFonts w:ascii="Arial" w:hAnsi="Arial" w:cs="Arial"/>
          <w:lang w:eastAsia="es-CR"/>
        </w:rPr>
        <w:t xml:space="preserve"> (ITSP), el cual es </w:t>
      </w:r>
      <w:r w:rsidR="00CB4A57" w:rsidRPr="00CB4A57">
        <w:rPr>
          <w:rFonts w:ascii="Arial" w:hAnsi="Arial" w:cs="Arial"/>
          <w:lang w:eastAsia="es-CR"/>
        </w:rPr>
        <w:t xml:space="preserve">un instrumento de evaluación, desarrollado científicamente y </w:t>
      </w:r>
      <w:r w:rsidR="00CB4A57" w:rsidRPr="00CB4A57">
        <w:rPr>
          <w:rFonts w:ascii="Arial" w:hAnsi="Arial" w:cs="Arial"/>
          <w:lang w:eastAsia="es-CR"/>
        </w:rPr>
        <w:lastRenderedPageBreak/>
        <w:t>basado en mejores prácticas internacionales para medir el estado de situación, en un momento dado, de la transparencia que ofrecen los sitios web de las instituciones públicas costarricenses.</w:t>
      </w:r>
    </w:p>
    <w:p w14:paraId="2F976161" w14:textId="77777777" w:rsidR="00CB4A57" w:rsidRDefault="00CB4A57" w:rsidP="00CB4A57">
      <w:pPr>
        <w:autoSpaceDE w:val="0"/>
        <w:autoSpaceDN w:val="0"/>
        <w:adjustRightInd w:val="0"/>
        <w:contextualSpacing/>
        <w:jc w:val="both"/>
        <w:rPr>
          <w:rFonts w:ascii="Arial" w:hAnsi="Arial" w:cs="Arial"/>
          <w:lang w:eastAsia="es-CR"/>
        </w:rPr>
      </w:pPr>
    </w:p>
    <w:p w14:paraId="468CA528" w14:textId="77777777" w:rsidR="004F38A0" w:rsidRDefault="00CB4A57" w:rsidP="00CB4A57">
      <w:pPr>
        <w:autoSpaceDE w:val="0"/>
        <w:autoSpaceDN w:val="0"/>
        <w:adjustRightInd w:val="0"/>
        <w:contextualSpacing/>
        <w:jc w:val="both"/>
        <w:rPr>
          <w:rFonts w:ascii="Arial" w:hAnsi="Arial" w:cs="Arial"/>
          <w:lang w:eastAsia="es-CR"/>
        </w:rPr>
      </w:pPr>
      <w:r>
        <w:rPr>
          <w:rFonts w:ascii="Arial" w:hAnsi="Arial" w:cs="Arial"/>
          <w:lang w:eastAsia="es-CR"/>
        </w:rPr>
        <w:t xml:space="preserve">Este índice somete a evaluación, dimensiones que han sido identificadas </w:t>
      </w:r>
      <w:r w:rsidRPr="00CB4A57">
        <w:rPr>
          <w:rFonts w:ascii="Arial" w:hAnsi="Arial" w:cs="Arial"/>
          <w:lang w:eastAsia="es-CR"/>
        </w:rPr>
        <w:t>bajo un conjunto de mejores</w:t>
      </w:r>
      <w:r>
        <w:rPr>
          <w:rFonts w:ascii="Arial" w:hAnsi="Arial" w:cs="Arial"/>
          <w:lang w:eastAsia="es-CR"/>
        </w:rPr>
        <w:t xml:space="preserve"> </w:t>
      </w:r>
      <w:r w:rsidRPr="00CB4A57">
        <w:rPr>
          <w:rFonts w:ascii="Arial" w:hAnsi="Arial" w:cs="Arial"/>
          <w:lang w:eastAsia="es-CR"/>
        </w:rPr>
        <w:t>prácticas internacionales,</w:t>
      </w:r>
      <w:r>
        <w:rPr>
          <w:rFonts w:ascii="Arial" w:hAnsi="Arial" w:cs="Arial"/>
          <w:lang w:eastAsia="es-CR"/>
        </w:rPr>
        <w:t xml:space="preserve"> a saber:</w:t>
      </w:r>
      <w:r w:rsidRPr="00CB4A57">
        <w:rPr>
          <w:rFonts w:ascii="Arial" w:hAnsi="Arial" w:cs="Arial"/>
          <w:lang w:eastAsia="es-CR"/>
        </w:rPr>
        <w:t xml:space="preserve"> Acceso a la información</w:t>
      </w:r>
      <w:r>
        <w:rPr>
          <w:rFonts w:ascii="Arial" w:hAnsi="Arial" w:cs="Arial"/>
          <w:lang w:eastAsia="es-CR"/>
        </w:rPr>
        <w:t xml:space="preserve">, </w:t>
      </w:r>
      <w:r w:rsidRPr="00CB4A57">
        <w:rPr>
          <w:rFonts w:ascii="Arial" w:hAnsi="Arial" w:cs="Arial"/>
          <w:lang w:eastAsia="es-CR"/>
        </w:rPr>
        <w:t>Rendición de cuentas</w:t>
      </w:r>
      <w:r>
        <w:rPr>
          <w:rFonts w:ascii="Arial" w:hAnsi="Arial" w:cs="Arial"/>
          <w:lang w:eastAsia="es-CR"/>
        </w:rPr>
        <w:t xml:space="preserve">, </w:t>
      </w:r>
      <w:r w:rsidRPr="00CB4A57">
        <w:rPr>
          <w:rFonts w:ascii="Arial" w:hAnsi="Arial" w:cs="Arial"/>
          <w:lang w:eastAsia="es-CR"/>
        </w:rPr>
        <w:t>Participación ciudadana</w:t>
      </w:r>
      <w:r>
        <w:rPr>
          <w:rFonts w:ascii="Arial" w:hAnsi="Arial" w:cs="Arial"/>
          <w:lang w:eastAsia="es-CR"/>
        </w:rPr>
        <w:t xml:space="preserve"> y </w:t>
      </w:r>
      <w:r w:rsidRPr="00CB4A57">
        <w:rPr>
          <w:rFonts w:ascii="Arial" w:hAnsi="Arial" w:cs="Arial"/>
          <w:lang w:eastAsia="es-CR"/>
        </w:rPr>
        <w:t>Datos abiertos de gobierno</w:t>
      </w:r>
      <w:r>
        <w:rPr>
          <w:rFonts w:ascii="Arial" w:hAnsi="Arial" w:cs="Arial"/>
          <w:lang w:eastAsia="es-CR"/>
        </w:rPr>
        <w:t xml:space="preserve">. </w:t>
      </w:r>
    </w:p>
    <w:p w14:paraId="11AF79C8" w14:textId="77777777" w:rsidR="004F38A0" w:rsidRDefault="004F38A0" w:rsidP="00CB4A57">
      <w:pPr>
        <w:autoSpaceDE w:val="0"/>
        <w:autoSpaceDN w:val="0"/>
        <w:adjustRightInd w:val="0"/>
        <w:contextualSpacing/>
        <w:jc w:val="both"/>
        <w:rPr>
          <w:rFonts w:ascii="Arial" w:hAnsi="Arial" w:cs="Arial"/>
          <w:lang w:eastAsia="es-CR"/>
        </w:rPr>
      </w:pPr>
    </w:p>
    <w:p w14:paraId="5D7F930A" w14:textId="1CA8C58D" w:rsidR="00CB4A57" w:rsidRDefault="00CB4A57" w:rsidP="00CB4A57">
      <w:pPr>
        <w:autoSpaceDE w:val="0"/>
        <w:autoSpaceDN w:val="0"/>
        <w:adjustRightInd w:val="0"/>
        <w:contextualSpacing/>
        <w:jc w:val="both"/>
        <w:rPr>
          <w:rFonts w:ascii="Arial" w:hAnsi="Arial" w:cs="Arial"/>
          <w:lang w:eastAsia="es-CR"/>
        </w:rPr>
      </w:pPr>
      <w:r w:rsidRPr="00CB4A57">
        <w:rPr>
          <w:rFonts w:ascii="Arial" w:hAnsi="Arial" w:cs="Arial"/>
          <w:lang w:eastAsia="es-CR"/>
        </w:rPr>
        <w:t xml:space="preserve">La medición de estas dimensiones bajo un conjunto de variables, </w:t>
      </w:r>
      <w:proofErr w:type="spellStart"/>
      <w:r w:rsidRPr="00CB4A57">
        <w:rPr>
          <w:rFonts w:ascii="Arial" w:hAnsi="Arial" w:cs="Arial"/>
          <w:lang w:eastAsia="es-CR"/>
        </w:rPr>
        <w:t>sub-variables</w:t>
      </w:r>
      <w:proofErr w:type="spellEnd"/>
      <w:r w:rsidRPr="00CB4A57">
        <w:rPr>
          <w:rFonts w:ascii="Arial" w:hAnsi="Arial" w:cs="Arial"/>
          <w:lang w:eastAsia="es-CR"/>
        </w:rPr>
        <w:t xml:space="preserve"> e indicadores permite</w:t>
      </w:r>
      <w:r>
        <w:rPr>
          <w:rFonts w:ascii="Arial" w:hAnsi="Arial" w:cs="Arial"/>
          <w:lang w:eastAsia="es-CR"/>
        </w:rPr>
        <w:t xml:space="preserve"> </w:t>
      </w:r>
      <w:r w:rsidRPr="00CB4A57">
        <w:rPr>
          <w:rFonts w:ascii="Arial" w:hAnsi="Arial" w:cs="Arial"/>
          <w:lang w:eastAsia="es-CR"/>
        </w:rPr>
        <w:t>obtener una imagen del estado de situación de la transparencia de las instituciones públicas en</w:t>
      </w:r>
      <w:r>
        <w:rPr>
          <w:rFonts w:ascii="Arial" w:hAnsi="Arial" w:cs="Arial"/>
          <w:lang w:eastAsia="es-CR"/>
        </w:rPr>
        <w:t xml:space="preserve"> </w:t>
      </w:r>
      <w:r w:rsidRPr="00CB4A57">
        <w:rPr>
          <w:rFonts w:ascii="Arial" w:hAnsi="Arial" w:cs="Arial"/>
          <w:lang w:eastAsia="es-CR"/>
        </w:rPr>
        <w:t>un momento dado.</w:t>
      </w:r>
    </w:p>
    <w:p w14:paraId="5748079A" w14:textId="2375E524" w:rsidR="00E4797B" w:rsidRDefault="00763D45">
      <w:pPr>
        <w:autoSpaceDE w:val="0"/>
        <w:autoSpaceDN w:val="0"/>
        <w:adjustRightInd w:val="0"/>
        <w:contextualSpacing/>
        <w:jc w:val="both"/>
        <w:rPr>
          <w:rFonts w:ascii="Arial" w:hAnsi="Arial" w:cs="Arial"/>
          <w:lang w:eastAsia="es-CR"/>
        </w:rPr>
      </w:pPr>
      <w:r>
        <w:rPr>
          <w:rFonts w:ascii="Arial" w:hAnsi="Arial" w:cs="Arial"/>
          <w:lang w:eastAsia="es-CR"/>
        </w:rPr>
        <w:t>Según</w:t>
      </w:r>
      <w:r w:rsidR="00E4797B">
        <w:rPr>
          <w:rFonts w:ascii="Arial" w:hAnsi="Arial" w:cs="Arial"/>
          <w:lang w:eastAsia="es-CR"/>
        </w:rPr>
        <w:t xml:space="preserve"> el Índice </w:t>
      </w:r>
      <w:r w:rsidR="00CB4A57">
        <w:rPr>
          <w:rFonts w:ascii="Arial" w:hAnsi="Arial" w:cs="Arial"/>
          <w:lang w:eastAsia="es-CR"/>
        </w:rPr>
        <w:t>mencionado,</w:t>
      </w:r>
      <w:r w:rsidR="00B67616">
        <w:rPr>
          <w:rFonts w:ascii="Arial" w:hAnsi="Arial" w:cs="Arial"/>
          <w:lang w:eastAsia="es-CR"/>
        </w:rPr>
        <w:t xml:space="preserve"> para</w:t>
      </w:r>
      <w:r w:rsidR="00E4797B">
        <w:rPr>
          <w:rFonts w:ascii="Arial" w:hAnsi="Arial" w:cs="Arial"/>
          <w:lang w:eastAsia="es-CR"/>
        </w:rPr>
        <w:t xml:space="preserve"> el año 2021 </w:t>
      </w:r>
      <w:r>
        <w:rPr>
          <w:rFonts w:ascii="Arial" w:hAnsi="Arial" w:cs="Arial"/>
          <w:lang w:eastAsia="es-CR"/>
        </w:rPr>
        <w:t xml:space="preserve">el Ministerio de Hacienda </w:t>
      </w:r>
      <w:r w:rsidR="00CB4A57">
        <w:rPr>
          <w:rFonts w:ascii="Arial" w:hAnsi="Arial" w:cs="Arial"/>
          <w:lang w:eastAsia="es-CR"/>
        </w:rPr>
        <w:t>fue</w:t>
      </w:r>
      <w:r>
        <w:rPr>
          <w:rFonts w:ascii="Arial" w:hAnsi="Arial" w:cs="Arial"/>
          <w:lang w:eastAsia="es-CR"/>
        </w:rPr>
        <w:t xml:space="preserve"> ubica</w:t>
      </w:r>
      <w:r w:rsidR="00CB4A57">
        <w:rPr>
          <w:rFonts w:ascii="Arial" w:hAnsi="Arial" w:cs="Arial"/>
          <w:lang w:eastAsia="es-CR"/>
        </w:rPr>
        <w:t>da</w:t>
      </w:r>
      <w:r w:rsidR="00BF2CA1">
        <w:rPr>
          <w:rFonts w:ascii="Arial" w:hAnsi="Arial" w:cs="Arial"/>
          <w:lang w:eastAsia="es-CR"/>
        </w:rPr>
        <w:t xml:space="preserve"> </w:t>
      </w:r>
      <w:r>
        <w:rPr>
          <w:rFonts w:ascii="Arial" w:hAnsi="Arial" w:cs="Arial"/>
          <w:lang w:eastAsia="es-CR"/>
        </w:rPr>
        <w:t>como segunda</w:t>
      </w:r>
      <w:r w:rsidR="00BF2CA1">
        <w:rPr>
          <w:rFonts w:ascii="Arial" w:hAnsi="Arial" w:cs="Arial"/>
          <w:lang w:eastAsia="es-CR"/>
        </w:rPr>
        <w:t xml:space="preserve"> </w:t>
      </w:r>
      <w:r>
        <w:rPr>
          <w:rFonts w:ascii="Arial" w:hAnsi="Arial" w:cs="Arial"/>
          <w:lang w:eastAsia="es-CR"/>
        </w:rPr>
        <w:t>en</w:t>
      </w:r>
      <w:r w:rsidR="00BF2CA1">
        <w:rPr>
          <w:rFonts w:ascii="Arial" w:hAnsi="Arial" w:cs="Arial"/>
          <w:lang w:eastAsia="es-CR"/>
        </w:rPr>
        <w:t xml:space="preserve"> las instituciones con mayor fluctuación negativa, pasando en el año 2020 con un ITSP de </w:t>
      </w:r>
      <w:r w:rsidR="00BF2CA1" w:rsidRPr="00BF2CA1">
        <w:rPr>
          <w:rFonts w:ascii="Arial" w:hAnsi="Arial" w:cs="Arial"/>
          <w:lang w:eastAsia="es-CR"/>
        </w:rPr>
        <w:t>77,38</w:t>
      </w:r>
      <w:r w:rsidR="00BF2CA1">
        <w:rPr>
          <w:rFonts w:ascii="Arial" w:hAnsi="Arial" w:cs="Arial"/>
          <w:lang w:eastAsia="es-CR"/>
        </w:rPr>
        <w:t xml:space="preserve">, a un Índice de </w:t>
      </w:r>
      <w:r w:rsidR="00BF2CA1" w:rsidRPr="00BF2CA1">
        <w:rPr>
          <w:rFonts w:ascii="Arial" w:hAnsi="Arial" w:cs="Arial"/>
          <w:lang w:eastAsia="es-CR"/>
        </w:rPr>
        <w:t>46,22</w:t>
      </w:r>
      <w:r w:rsidR="00E4797B">
        <w:rPr>
          <w:rFonts w:ascii="Arial" w:hAnsi="Arial" w:cs="Arial"/>
          <w:lang w:eastAsia="es-CR"/>
        </w:rPr>
        <w:t xml:space="preserve"> para el año 2021</w:t>
      </w:r>
      <w:r w:rsidR="00BF2CA1">
        <w:rPr>
          <w:rFonts w:ascii="Arial" w:hAnsi="Arial" w:cs="Arial"/>
          <w:lang w:eastAsia="es-CR"/>
        </w:rPr>
        <w:t xml:space="preserve">, </w:t>
      </w:r>
      <w:r w:rsidR="00E4797B">
        <w:rPr>
          <w:rFonts w:ascii="Arial" w:hAnsi="Arial" w:cs="Arial"/>
          <w:lang w:eastAsia="es-CR"/>
        </w:rPr>
        <w:t xml:space="preserve">lo que representa </w:t>
      </w:r>
      <w:r w:rsidR="00BF2CA1">
        <w:rPr>
          <w:rFonts w:ascii="Arial" w:hAnsi="Arial" w:cs="Arial"/>
          <w:lang w:eastAsia="es-CR"/>
        </w:rPr>
        <w:t xml:space="preserve">una variación de </w:t>
      </w:r>
      <w:r w:rsidR="00BF2CA1" w:rsidRPr="00BF2CA1">
        <w:rPr>
          <w:rFonts w:ascii="Arial" w:hAnsi="Arial" w:cs="Arial"/>
          <w:lang w:eastAsia="es-CR"/>
        </w:rPr>
        <w:t>-31,16</w:t>
      </w:r>
      <w:r w:rsidR="00CB4A57">
        <w:rPr>
          <w:rFonts w:ascii="Arial" w:hAnsi="Arial" w:cs="Arial"/>
          <w:lang w:eastAsia="es-CR"/>
        </w:rPr>
        <w:t xml:space="preserve">. La disminución </w:t>
      </w:r>
      <w:r w:rsidR="007808BE">
        <w:rPr>
          <w:rFonts w:ascii="Arial" w:hAnsi="Arial" w:cs="Arial"/>
          <w:lang w:eastAsia="es-CR"/>
        </w:rPr>
        <w:t xml:space="preserve">en la evaluación, se refleja en las variaciones de las dimensiones evaluadas, según se observa en </w:t>
      </w:r>
      <w:r w:rsidR="00A100CC">
        <w:rPr>
          <w:rFonts w:ascii="Arial" w:hAnsi="Arial" w:cs="Arial"/>
          <w:lang w:eastAsia="es-CR"/>
        </w:rPr>
        <w:t>el siguiente gráfico</w:t>
      </w:r>
      <w:r w:rsidR="007808BE">
        <w:rPr>
          <w:rFonts w:ascii="Arial" w:hAnsi="Arial" w:cs="Arial"/>
          <w:lang w:eastAsia="es-CR"/>
        </w:rPr>
        <w:t>:</w:t>
      </w:r>
      <w:r w:rsidR="00E4797B">
        <w:rPr>
          <w:rFonts w:ascii="Arial" w:hAnsi="Arial" w:cs="Arial"/>
          <w:lang w:eastAsia="es-CR"/>
        </w:rPr>
        <w:t xml:space="preserve"> </w:t>
      </w:r>
    </w:p>
    <w:p w14:paraId="7CE46E0A" w14:textId="77777777" w:rsidR="00AB57A5" w:rsidRDefault="00AB57A5">
      <w:pPr>
        <w:autoSpaceDE w:val="0"/>
        <w:autoSpaceDN w:val="0"/>
        <w:adjustRightInd w:val="0"/>
        <w:contextualSpacing/>
        <w:jc w:val="both"/>
        <w:rPr>
          <w:rFonts w:ascii="Arial" w:hAnsi="Arial" w:cs="Arial"/>
          <w:lang w:eastAsia="es-CR"/>
        </w:rPr>
      </w:pPr>
    </w:p>
    <w:p w14:paraId="1A31E904" w14:textId="4F763317" w:rsidR="003B7B68" w:rsidRDefault="003B7B68" w:rsidP="003B7B68">
      <w:pPr>
        <w:contextualSpacing/>
        <w:jc w:val="center"/>
        <w:rPr>
          <w:rFonts w:ascii="Arial" w:hAnsi="Arial" w:cs="Arial"/>
          <w:b/>
          <w:color w:val="44546A"/>
        </w:rPr>
      </w:pPr>
      <w:r w:rsidRPr="009E5392">
        <w:rPr>
          <w:rFonts w:ascii="Arial" w:hAnsi="Arial" w:cs="Arial"/>
          <w:b/>
          <w:color w:val="44546A"/>
        </w:rPr>
        <w:t>Gráfico N</w:t>
      </w:r>
      <w:r w:rsidR="00A100CC">
        <w:rPr>
          <w:rFonts w:ascii="Arial" w:hAnsi="Arial" w:cs="Arial"/>
          <w:b/>
          <w:color w:val="44546A"/>
        </w:rPr>
        <w:t>°</w:t>
      </w:r>
      <w:r w:rsidRPr="009E5392">
        <w:rPr>
          <w:rFonts w:ascii="Arial" w:hAnsi="Arial" w:cs="Arial"/>
          <w:b/>
          <w:color w:val="44546A"/>
        </w:rPr>
        <w:t>1</w:t>
      </w:r>
    </w:p>
    <w:p w14:paraId="07C4FCA6" w14:textId="1BFA227E" w:rsidR="003B7B68" w:rsidRDefault="003B7B68" w:rsidP="003B7B68">
      <w:pPr>
        <w:contextualSpacing/>
        <w:jc w:val="center"/>
        <w:rPr>
          <w:rFonts w:ascii="Arial" w:hAnsi="Arial" w:cs="Arial"/>
          <w:b/>
          <w:color w:val="44546A"/>
        </w:rPr>
      </w:pPr>
      <w:r>
        <w:rPr>
          <w:rFonts w:ascii="Arial" w:hAnsi="Arial" w:cs="Arial"/>
          <w:b/>
          <w:color w:val="44546A"/>
        </w:rPr>
        <w:t>Variación de dimensiones evaluadas</w:t>
      </w:r>
      <w:r w:rsidR="00A100CC">
        <w:rPr>
          <w:rFonts w:ascii="Arial" w:hAnsi="Arial" w:cs="Arial"/>
          <w:b/>
          <w:color w:val="44546A"/>
        </w:rPr>
        <w:t xml:space="preserve"> del Índice</w:t>
      </w:r>
    </w:p>
    <w:p w14:paraId="2F96FE97" w14:textId="4AA01882" w:rsidR="00A100CC" w:rsidRDefault="00A100CC" w:rsidP="003B7B68">
      <w:pPr>
        <w:contextualSpacing/>
        <w:jc w:val="center"/>
        <w:rPr>
          <w:rFonts w:ascii="Arial" w:hAnsi="Arial" w:cs="Arial"/>
          <w:b/>
          <w:color w:val="44546A"/>
        </w:rPr>
      </w:pPr>
      <w:r>
        <w:rPr>
          <w:rFonts w:ascii="Arial" w:hAnsi="Arial" w:cs="Arial"/>
          <w:b/>
          <w:color w:val="44546A"/>
        </w:rPr>
        <w:t>de Transparencia del Sector Público</w:t>
      </w:r>
    </w:p>
    <w:p w14:paraId="7AD9124F" w14:textId="25A02C71" w:rsidR="001F5981" w:rsidRDefault="001F5981" w:rsidP="003B7B68">
      <w:pPr>
        <w:contextualSpacing/>
        <w:jc w:val="center"/>
        <w:rPr>
          <w:rFonts w:ascii="Arial" w:hAnsi="Arial" w:cs="Arial"/>
          <w:b/>
          <w:noProof/>
          <w:color w:val="44546A"/>
        </w:rPr>
      </w:pPr>
    </w:p>
    <w:p w14:paraId="0CD5BDC6" w14:textId="058A5AB4" w:rsidR="001F5981" w:rsidRDefault="00574C81" w:rsidP="003B7B68">
      <w:pPr>
        <w:contextualSpacing/>
        <w:jc w:val="center"/>
        <w:rPr>
          <w:rFonts w:ascii="Arial" w:hAnsi="Arial" w:cs="Arial"/>
          <w:b/>
          <w:color w:val="44546A"/>
        </w:rPr>
      </w:pPr>
      <w:r>
        <w:rPr>
          <w:rFonts w:ascii="Arial" w:hAnsi="Arial" w:cs="Arial"/>
          <w:b/>
          <w:noProof/>
          <w:color w:val="44546A"/>
        </w:rPr>
        <w:drawing>
          <wp:inline distT="0" distB="0" distL="0" distR="0" wp14:anchorId="42E99CF1" wp14:editId="4C3AC452">
            <wp:extent cx="4700270" cy="28956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0270" cy="2895600"/>
                    </a:xfrm>
                    <a:prstGeom prst="rect">
                      <a:avLst/>
                    </a:prstGeom>
                    <a:noFill/>
                  </pic:spPr>
                </pic:pic>
              </a:graphicData>
            </a:graphic>
          </wp:inline>
        </w:drawing>
      </w:r>
    </w:p>
    <w:p w14:paraId="26D912DE" w14:textId="41CD5E29" w:rsidR="00A100CC" w:rsidRPr="007808BE" w:rsidRDefault="00A100CC" w:rsidP="00A100CC">
      <w:pPr>
        <w:contextualSpacing/>
        <w:jc w:val="both"/>
        <w:rPr>
          <w:rFonts w:ascii="Arial" w:hAnsi="Arial" w:cs="Arial"/>
          <w:sz w:val="18"/>
          <w:szCs w:val="18"/>
        </w:rPr>
      </w:pPr>
      <w:r>
        <w:rPr>
          <w:rFonts w:ascii="Arial" w:hAnsi="Arial" w:cs="Arial"/>
          <w:sz w:val="18"/>
          <w:szCs w:val="18"/>
        </w:rPr>
        <w:t xml:space="preserve">                    </w:t>
      </w:r>
      <w:r w:rsidRPr="00A100CC">
        <w:rPr>
          <w:rFonts w:ascii="Arial" w:hAnsi="Arial" w:cs="Arial"/>
          <w:b/>
          <w:sz w:val="18"/>
          <w:szCs w:val="18"/>
        </w:rPr>
        <w:t>Fuente:</w:t>
      </w:r>
      <w:r w:rsidRPr="00553D43">
        <w:rPr>
          <w:rFonts w:ascii="Arial" w:hAnsi="Arial" w:cs="Arial"/>
          <w:sz w:val="18"/>
          <w:szCs w:val="18"/>
        </w:rPr>
        <w:t xml:space="preserve"> Elaboración propia con </w:t>
      </w:r>
      <w:r>
        <w:rPr>
          <w:rFonts w:ascii="Arial" w:hAnsi="Arial" w:cs="Arial"/>
          <w:sz w:val="18"/>
          <w:szCs w:val="18"/>
        </w:rPr>
        <w:t xml:space="preserve">información </w:t>
      </w:r>
      <w:r w:rsidRPr="00553D43">
        <w:rPr>
          <w:rFonts w:ascii="Arial" w:hAnsi="Arial" w:cs="Arial"/>
          <w:sz w:val="18"/>
          <w:szCs w:val="18"/>
        </w:rPr>
        <w:t>de</w:t>
      </w:r>
      <w:r>
        <w:rPr>
          <w:rFonts w:ascii="Arial" w:hAnsi="Arial" w:cs="Arial"/>
          <w:sz w:val="18"/>
          <w:szCs w:val="18"/>
        </w:rPr>
        <w:t xml:space="preserve"> la base de datos del ITSP 2021</w:t>
      </w:r>
    </w:p>
    <w:p w14:paraId="193C9752" w14:textId="7EA22A0D" w:rsidR="003B7B68" w:rsidRDefault="003B7B68" w:rsidP="007808BE">
      <w:pPr>
        <w:autoSpaceDE w:val="0"/>
        <w:autoSpaceDN w:val="0"/>
        <w:adjustRightInd w:val="0"/>
        <w:jc w:val="both"/>
        <w:rPr>
          <w:rFonts w:ascii="Arial" w:hAnsi="Arial" w:cs="Arial"/>
          <w:lang w:eastAsia="es-CR"/>
        </w:rPr>
      </w:pPr>
    </w:p>
    <w:p w14:paraId="7D2BF189" w14:textId="1C627AB3" w:rsidR="00A100CC" w:rsidRDefault="00A100CC" w:rsidP="007808BE">
      <w:pPr>
        <w:autoSpaceDE w:val="0"/>
        <w:autoSpaceDN w:val="0"/>
        <w:adjustRightInd w:val="0"/>
        <w:jc w:val="both"/>
        <w:rPr>
          <w:rFonts w:ascii="Arial" w:hAnsi="Arial" w:cs="Arial"/>
          <w:lang w:eastAsia="es-CR"/>
        </w:rPr>
      </w:pPr>
      <w:r>
        <w:rPr>
          <w:rFonts w:ascii="Arial" w:hAnsi="Arial" w:cs="Arial"/>
          <w:lang w:eastAsia="es-CR"/>
        </w:rPr>
        <w:t>En el gráfico anterior se observa el deterioro que presentó el Ministerio de Hacienda en las dimensiones evaluadas</w:t>
      </w:r>
      <w:r w:rsidR="009E75CC">
        <w:rPr>
          <w:rFonts w:ascii="Arial" w:hAnsi="Arial" w:cs="Arial"/>
          <w:lang w:eastAsia="es-CR"/>
        </w:rPr>
        <w:t xml:space="preserve"> de</w:t>
      </w:r>
      <w:r>
        <w:rPr>
          <w:rFonts w:ascii="Arial" w:hAnsi="Arial" w:cs="Arial"/>
          <w:lang w:eastAsia="es-CR"/>
        </w:rPr>
        <w:t xml:space="preserve"> Índice de Transparencia del Sector Público (ITSP), Acceso de Información (AI), Rendición de Cuentas (RC), Participación Ciudadana (PC) y Datos Abiertos (DA)</w:t>
      </w:r>
      <w:r w:rsidR="009E75CC">
        <w:rPr>
          <w:rFonts w:ascii="Arial" w:hAnsi="Arial" w:cs="Arial"/>
          <w:lang w:eastAsia="es-CR"/>
        </w:rPr>
        <w:t>, las cuales</w:t>
      </w:r>
      <w:r>
        <w:rPr>
          <w:rFonts w:ascii="Arial" w:hAnsi="Arial" w:cs="Arial"/>
          <w:lang w:eastAsia="es-CR"/>
        </w:rPr>
        <w:t xml:space="preserve"> </w:t>
      </w:r>
      <w:r w:rsidR="009E75CC">
        <w:rPr>
          <w:rFonts w:ascii="Arial" w:hAnsi="Arial" w:cs="Arial"/>
          <w:lang w:eastAsia="es-CR"/>
        </w:rPr>
        <w:t xml:space="preserve">al comparar el 2020 con el 2021 </w:t>
      </w:r>
      <w:r>
        <w:rPr>
          <w:rFonts w:ascii="Arial" w:hAnsi="Arial" w:cs="Arial"/>
          <w:lang w:eastAsia="es-CR"/>
        </w:rPr>
        <w:t>presentaron variaciones negativas</w:t>
      </w:r>
      <w:r w:rsidR="009E75CC">
        <w:rPr>
          <w:rFonts w:ascii="Arial" w:hAnsi="Arial" w:cs="Arial"/>
          <w:lang w:eastAsia="es-CR"/>
        </w:rPr>
        <w:t xml:space="preserve"> </w:t>
      </w:r>
      <w:r>
        <w:rPr>
          <w:rFonts w:ascii="Arial" w:hAnsi="Arial" w:cs="Arial"/>
          <w:lang w:eastAsia="es-CR"/>
        </w:rPr>
        <w:t xml:space="preserve">-31,16, -10,53, -55,80, -34,43 y -20,09, respectivamente.  </w:t>
      </w:r>
    </w:p>
    <w:p w14:paraId="77E2E5AF" w14:textId="569260CF" w:rsidR="00A100CC" w:rsidRDefault="00A100CC" w:rsidP="007808BE">
      <w:pPr>
        <w:autoSpaceDE w:val="0"/>
        <w:autoSpaceDN w:val="0"/>
        <w:adjustRightInd w:val="0"/>
        <w:jc w:val="both"/>
        <w:rPr>
          <w:rFonts w:ascii="Arial" w:hAnsi="Arial" w:cs="Arial"/>
          <w:lang w:eastAsia="es-CR"/>
        </w:rPr>
      </w:pPr>
    </w:p>
    <w:p w14:paraId="786B13A2" w14:textId="77777777" w:rsidR="00AF72A7" w:rsidRDefault="005D2181">
      <w:pPr>
        <w:autoSpaceDE w:val="0"/>
        <w:autoSpaceDN w:val="0"/>
        <w:adjustRightInd w:val="0"/>
        <w:contextualSpacing/>
        <w:jc w:val="both"/>
        <w:rPr>
          <w:rFonts w:ascii="Arial" w:hAnsi="Arial" w:cs="Arial"/>
          <w:lang w:eastAsia="es-CR"/>
        </w:rPr>
      </w:pPr>
      <w:r>
        <w:rPr>
          <w:rFonts w:ascii="Arial" w:hAnsi="Arial" w:cs="Arial"/>
          <w:lang w:eastAsia="es-CR"/>
        </w:rPr>
        <w:t>En relación a este tema, el Ministerio</w:t>
      </w:r>
      <w:r w:rsidR="00AF72A7">
        <w:rPr>
          <w:rFonts w:ascii="Arial" w:hAnsi="Arial" w:cs="Arial"/>
          <w:lang w:eastAsia="es-CR"/>
        </w:rPr>
        <w:t xml:space="preserve"> </w:t>
      </w:r>
      <w:r w:rsidR="00CC16A2">
        <w:rPr>
          <w:rFonts w:ascii="Arial" w:hAnsi="Arial" w:cs="Arial"/>
          <w:lang w:eastAsia="es-CR"/>
        </w:rPr>
        <w:t xml:space="preserve">cuenta con </w:t>
      </w:r>
      <w:r w:rsidR="00AF72A7">
        <w:rPr>
          <w:rFonts w:ascii="Arial" w:hAnsi="Arial" w:cs="Arial"/>
          <w:lang w:eastAsia="es-CR"/>
        </w:rPr>
        <w:t xml:space="preserve">documentos que </w:t>
      </w:r>
      <w:r w:rsidR="00187437">
        <w:rPr>
          <w:rFonts w:ascii="Arial" w:hAnsi="Arial" w:cs="Arial"/>
          <w:lang w:eastAsia="es-CR"/>
        </w:rPr>
        <w:t>podrán</w:t>
      </w:r>
      <w:r w:rsidR="00AF72A7">
        <w:rPr>
          <w:rFonts w:ascii="Arial" w:hAnsi="Arial" w:cs="Arial"/>
          <w:lang w:eastAsia="es-CR"/>
        </w:rPr>
        <w:t xml:space="preserve"> ser utilizados durante el proceso de apertura de datos públicos, como lo son el </w:t>
      </w:r>
      <w:r w:rsidR="00AF72A7" w:rsidRPr="00AF72A7">
        <w:rPr>
          <w:rFonts w:ascii="Arial" w:hAnsi="Arial" w:cs="Arial"/>
          <w:lang w:eastAsia="es-CR"/>
        </w:rPr>
        <w:t>Manual de</w:t>
      </w:r>
      <w:r w:rsidR="00AF72A7">
        <w:rPr>
          <w:rFonts w:ascii="Arial" w:hAnsi="Arial" w:cs="Arial"/>
          <w:lang w:eastAsia="es-CR"/>
        </w:rPr>
        <w:t xml:space="preserve"> </w:t>
      </w:r>
      <w:r w:rsidR="00AF72A7" w:rsidRPr="00AF72A7">
        <w:rPr>
          <w:rFonts w:ascii="Arial" w:hAnsi="Arial" w:cs="Arial"/>
          <w:lang w:eastAsia="es-CR"/>
        </w:rPr>
        <w:t xml:space="preserve">publicación </w:t>
      </w:r>
      <w:r w:rsidR="00AF72A7" w:rsidRPr="00AF72A7">
        <w:rPr>
          <w:rFonts w:ascii="Arial" w:hAnsi="Arial" w:cs="Arial"/>
          <w:lang w:eastAsia="es-CR"/>
        </w:rPr>
        <w:lastRenderedPageBreak/>
        <w:t>de información en la página web del Ministerio de Hacienda</w:t>
      </w:r>
      <w:r w:rsidR="00187437">
        <w:rPr>
          <w:rFonts w:ascii="Arial" w:hAnsi="Arial" w:cs="Arial"/>
          <w:lang w:eastAsia="es-CR"/>
        </w:rPr>
        <w:t xml:space="preserve"> y la </w:t>
      </w:r>
      <w:r w:rsidR="00AF72A7" w:rsidRPr="00AF72A7">
        <w:rPr>
          <w:rFonts w:ascii="Arial" w:hAnsi="Arial" w:cs="Arial"/>
          <w:lang w:eastAsia="es-CR"/>
        </w:rPr>
        <w:t>Directriz N° DM 009-2021</w:t>
      </w:r>
      <w:r w:rsidR="00F67F13">
        <w:rPr>
          <w:rFonts w:ascii="Arial" w:hAnsi="Arial" w:cs="Arial"/>
          <w:lang w:eastAsia="es-CR"/>
        </w:rPr>
        <w:t xml:space="preserve"> “Directriz sobre la política de privacidad de los sitios web y aplicaciones del Ministerio de Hacienda”</w:t>
      </w:r>
      <w:r w:rsidR="00CC16A2">
        <w:rPr>
          <w:rFonts w:ascii="Arial" w:hAnsi="Arial" w:cs="Arial"/>
          <w:lang w:eastAsia="es-CR"/>
        </w:rPr>
        <w:t>.</w:t>
      </w:r>
    </w:p>
    <w:p w14:paraId="3EDD2A4F" w14:textId="77777777" w:rsidR="00AF72A7" w:rsidRDefault="00AF72A7">
      <w:pPr>
        <w:autoSpaceDE w:val="0"/>
        <w:autoSpaceDN w:val="0"/>
        <w:adjustRightInd w:val="0"/>
        <w:contextualSpacing/>
        <w:jc w:val="both"/>
        <w:rPr>
          <w:rFonts w:ascii="Arial" w:hAnsi="Arial" w:cs="Arial"/>
          <w:lang w:eastAsia="es-CR"/>
        </w:rPr>
      </w:pPr>
    </w:p>
    <w:p w14:paraId="45ACE74D" w14:textId="5E04DD0F" w:rsidR="00763049" w:rsidRDefault="005D2181">
      <w:pPr>
        <w:autoSpaceDE w:val="0"/>
        <w:autoSpaceDN w:val="0"/>
        <w:adjustRightInd w:val="0"/>
        <w:contextualSpacing/>
        <w:jc w:val="both"/>
        <w:rPr>
          <w:rFonts w:ascii="Arial" w:hAnsi="Arial" w:cs="Arial"/>
          <w:lang w:eastAsia="es-CR"/>
        </w:rPr>
      </w:pPr>
      <w:r w:rsidRPr="000A53C1">
        <w:rPr>
          <w:rFonts w:ascii="Arial" w:hAnsi="Arial" w:cs="Arial"/>
          <w:lang w:eastAsia="es-CR"/>
        </w:rPr>
        <w:t>Adicionalmente</w:t>
      </w:r>
      <w:r w:rsidR="00AF72A7" w:rsidRPr="000A53C1">
        <w:rPr>
          <w:rFonts w:ascii="Arial" w:hAnsi="Arial" w:cs="Arial"/>
          <w:lang w:eastAsia="es-CR"/>
        </w:rPr>
        <w:t xml:space="preserve">, </w:t>
      </w:r>
      <w:r w:rsidRPr="000A53C1">
        <w:rPr>
          <w:rFonts w:ascii="Arial" w:hAnsi="Arial" w:cs="Arial"/>
          <w:lang w:eastAsia="es-CR"/>
        </w:rPr>
        <w:t xml:space="preserve">hasta marzo del 2022, </w:t>
      </w:r>
      <w:r w:rsidR="00AF72A7" w:rsidRPr="000A53C1">
        <w:rPr>
          <w:rFonts w:ascii="Arial" w:hAnsi="Arial" w:cs="Arial"/>
          <w:lang w:eastAsia="es-CR"/>
        </w:rPr>
        <w:t xml:space="preserve">en el enlace </w:t>
      </w:r>
      <w:r w:rsidR="00CC16A2" w:rsidRPr="000A53C1">
        <w:rPr>
          <w:rFonts w:ascii="Arial" w:hAnsi="Arial" w:cs="Arial"/>
          <w:lang w:eastAsia="es-CR"/>
        </w:rPr>
        <w:t>“T</w:t>
      </w:r>
      <w:r w:rsidR="00AF72A7" w:rsidRPr="000A53C1">
        <w:rPr>
          <w:rFonts w:ascii="Arial" w:hAnsi="Arial" w:cs="Arial"/>
          <w:lang w:eastAsia="es-CR"/>
        </w:rPr>
        <w:t>ransparencia institucional</w:t>
      </w:r>
      <w:r w:rsidR="00CC16A2" w:rsidRPr="000A53C1">
        <w:rPr>
          <w:rFonts w:ascii="Arial" w:hAnsi="Arial" w:cs="Arial"/>
          <w:lang w:eastAsia="es-CR"/>
        </w:rPr>
        <w:t>”</w:t>
      </w:r>
      <w:r w:rsidRPr="000A53C1">
        <w:rPr>
          <w:rFonts w:ascii="Arial" w:hAnsi="Arial" w:cs="Arial"/>
          <w:lang w:eastAsia="es-CR"/>
        </w:rPr>
        <w:t xml:space="preserve"> de la página web del Ministerio se encontraba información de </w:t>
      </w:r>
      <w:r w:rsidR="002B1173" w:rsidRPr="000A53C1">
        <w:rPr>
          <w:rFonts w:ascii="Arial" w:hAnsi="Arial" w:cs="Arial"/>
          <w:lang w:eastAsia="es-CR"/>
        </w:rPr>
        <w:t xml:space="preserve">“Presupuesto Abierto”, </w:t>
      </w:r>
      <w:r w:rsidRPr="000A53C1">
        <w:rPr>
          <w:rFonts w:ascii="Arial" w:hAnsi="Arial" w:cs="Arial"/>
          <w:lang w:eastAsia="es-CR"/>
        </w:rPr>
        <w:t xml:space="preserve">datos que fueron publicados por la dependencia respectiva, </w:t>
      </w:r>
      <w:r w:rsidR="00AF72A7" w:rsidRPr="000A53C1">
        <w:rPr>
          <w:rFonts w:ascii="Arial" w:hAnsi="Arial" w:cs="Arial"/>
          <w:lang w:eastAsia="es-CR"/>
        </w:rPr>
        <w:t xml:space="preserve">sin control por parte de los encargados según la normativa y sin la aplicación de la Guía Nacional para la Publicación de Datos Abiertos. </w:t>
      </w:r>
      <w:r w:rsidR="000A5206" w:rsidRPr="000A53C1">
        <w:rPr>
          <w:rFonts w:ascii="Arial" w:hAnsi="Arial" w:cs="Arial"/>
          <w:lang w:eastAsia="es-CR"/>
        </w:rPr>
        <w:t>Otro ejemplo de publicaciones de ese tipo, por parte de dependencias es la creación</w:t>
      </w:r>
      <w:r w:rsidR="000A5206">
        <w:rPr>
          <w:rFonts w:ascii="Arial" w:hAnsi="Arial" w:cs="Arial"/>
          <w:lang w:eastAsia="es-CR"/>
        </w:rPr>
        <w:t xml:space="preserve"> del sitio denominado: Observatorio de Compras Públicas, donde se pone a disposición de los usuarios información de los procedimientos de contratación realizados, como una manera de aumentar la transparencia</w:t>
      </w:r>
      <w:r w:rsidR="00574C81">
        <w:rPr>
          <w:rFonts w:ascii="Arial" w:hAnsi="Arial" w:cs="Arial"/>
          <w:lang w:eastAsia="es-CR"/>
        </w:rPr>
        <w:t>, pero sin mediar la metodología establecida en la Guía Nacional para la Publicación de Datos.</w:t>
      </w:r>
    </w:p>
    <w:p w14:paraId="15323D35" w14:textId="77777777" w:rsidR="00763049" w:rsidRDefault="00763049">
      <w:pPr>
        <w:autoSpaceDE w:val="0"/>
        <w:autoSpaceDN w:val="0"/>
        <w:adjustRightInd w:val="0"/>
        <w:contextualSpacing/>
        <w:jc w:val="both"/>
        <w:rPr>
          <w:rFonts w:ascii="Arial" w:hAnsi="Arial" w:cs="Arial"/>
          <w:lang w:eastAsia="es-CR"/>
        </w:rPr>
      </w:pPr>
    </w:p>
    <w:p w14:paraId="4362D1A0" w14:textId="77777777" w:rsidR="00AF72A7" w:rsidRDefault="002948B5">
      <w:pPr>
        <w:autoSpaceDE w:val="0"/>
        <w:autoSpaceDN w:val="0"/>
        <w:adjustRightInd w:val="0"/>
        <w:contextualSpacing/>
        <w:jc w:val="both"/>
        <w:rPr>
          <w:rFonts w:ascii="Arial" w:hAnsi="Arial" w:cs="Arial"/>
          <w:lang w:eastAsia="es-CR"/>
        </w:rPr>
      </w:pPr>
      <w:r>
        <w:rPr>
          <w:rFonts w:ascii="Arial" w:hAnsi="Arial" w:cs="Arial"/>
          <w:lang w:eastAsia="es-CR"/>
        </w:rPr>
        <w:t xml:space="preserve">Al respecto, </w:t>
      </w:r>
      <w:r w:rsidR="002B1173">
        <w:rPr>
          <w:rFonts w:ascii="Arial" w:hAnsi="Arial" w:cs="Arial"/>
          <w:lang w:eastAsia="es-CR"/>
        </w:rPr>
        <w:t>n</w:t>
      </w:r>
      <w:r w:rsidR="00AF72A7">
        <w:rPr>
          <w:rFonts w:ascii="Arial" w:hAnsi="Arial" w:cs="Arial"/>
          <w:lang w:eastAsia="es-CR"/>
        </w:rPr>
        <w:t xml:space="preserve">o existe claridad </w:t>
      </w:r>
      <w:r>
        <w:rPr>
          <w:rFonts w:ascii="Arial" w:hAnsi="Arial" w:cs="Arial"/>
          <w:lang w:eastAsia="es-CR"/>
        </w:rPr>
        <w:t xml:space="preserve">a nivel institucional </w:t>
      </w:r>
      <w:r w:rsidR="00AF72A7">
        <w:rPr>
          <w:rFonts w:ascii="Arial" w:hAnsi="Arial" w:cs="Arial"/>
          <w:lang w:eastAsia="es-CR"/>
        </w:rPr>
        <w:t>de los responsables de cada etapa dentro del proceso</w:t>
      </w:r>
      <w:r w:rsidR="002B1173">
        <w:rPr>
          <w:rFonts w:ascii="Arial" w:hAnsi="Arial" w:cs="Arial"/>
          <w:lang w:eastAsia="es-CR"/>
        </w:rPr>
        <w:t xml:space="preserve"> de apertura y publicación de datos abiertos</w:t>
      </w:r>
      <w:r w:rsidR="00AF72A7">
        <w:rPr>
          <w:rFonts w:ascii="Arial" w:hAnsi="Arial" w:cs="Arial"/>
          <w:lang w:eastAsia="es-CR"/>
        </w:rPr>
        <w:t>, por lo que distintos actores intervienen entre ellos: Dirección de Tecnologías de Información y Comunicación, Comunicación Institucional y algunas dependencias que han decidido publicar la información que generan.</w:t>
      </w:r>
    </w:p>
    <w:p w14:paraId="4110C9E1" w14:textId="77777777" w:rsidR="00AF72A7" w:rsidRDefault="00AF72A7">
      <w:pPr>
        <w:autoSpaceDE w:val="0"/>
        <w:autoSpaceDN w:val="0"/>
        <w:adjustRightInd w:val="0"/>
        <w:contextualSpacing/>
        <w:jc w:val="both"/>
        <w:rPr>
          <w:rFonts w:ascii="Arial" w:hAnsi="Arial" w:cs="Arial"/>
          <w:lang w:eastAsia="es-CR"/>
        </w:rPr>
      </w:pPr>
    </w:p>
    <w:p w14:paraId="3C1DA603" w14:textId="349B77B2" w:rsidR="00AF72A7" w:rsidRDefault="006276EC">
      <w:pPr>
        <w:autoSpaceDE w:val="0"/>
        <w:autoSpaceDN w:val="0"/>
        <w:adjustRightInd w:val="0"/>
        <w:contextualSpacing/>
        <w:jc w:val="both"/>
        <w:rPr>
          <w:rFonts w:ascii="Arial" w:hAnsi="Arial" w:cs="Arial"/>
          <w:lang w:eastAsia="es-CR"/>
        </w:rPr>
      </w:pPr>
      <w:r>
        <w:rPr>
          <w:rFonts w:ascii="Arial" w:hAnsi="Arial" w:cs="Arial"/>
          <w:lang w:eastAsia="es-CR"/>
        </w:rPr>
        <w:t>Asimismo,</w:t>
      </w:r>
      <w:r w:rsidR="003F3725">
        <w:rPr>
          <w:rFonts w:ascii="Arial" w:hAnsi="Arial" w:cs="Arial"/>
          <w:lang w:eastAsia="es-CR"/>
        </w:rPr>
        <w:t xml:space="preserve"> </w:t>
      </w:r>
      <w:r w:rsidR="002B1173">
        <w:rPr>
          <w:rFonts w:ascii="Arial" w:hAnsi="Arial" w:cs="Arial"/>
          <w:lang w:eastAsia="es-CR"/>
        </w:rPr>
        <w:t>el proyecto de Hacienda Digital</w:t>
      </w:r>
      <w:r w:rsidR="00340A4C">
        <w:rPr>
          <w:rFonts w:ascii="Arial" w:hAnsi="Arial" w:cs="Arial"/>
          <w:lang w:eastAsia="es-CR"/>
        </w:rPr>
        <w:t xml:space="preserve"> </w:t>
      </w:r>
      <w:r w:rsidR="008B1361">
        <w:rPr>
          <w:rFonts w:ascii="Arial" w:hAnsi="Arial" w:cs="Arial"/>
          <w:lang w:eastAsia="es-CR"/>
        </w:rPr>
        <w:t xml:space="preserve">se </w:t>
      </w:r>
      <w:r w:rsidR="00AF72A7">
        <w:rPr>
          <w:rFonts w:ascii="Arial" w:hAnsi="Arial" w:cs="Arial"/>
          <w:lang w:eastAsia="es-CR"/>
        </w:rPr>
        <w:t xml:space="preserve">ha contemplado </w:t>
      </w:r>
      <w:r w:rsidR="00906B6F">
        <w:rPr>
          <w:rFonts w:ascii="Arial" w:hAnsi="Arial" w:cs="Arial"/>
          <w:lang w:eastAsia="es-CR"/>
        </w:rPr>
        <w:t xml:space="preserve">dentro de los requerimientos del proyecto, </w:t>
      </w:r>
      <w:r w:rsidR="00F67F13">
        <w:rPr>
          <w:rFonts w:ascii="Arial" w:hAnsi="Arial" w:cs="Arial"/>
          <w:lang w:eastAsia="es-CR"/>
        </w:rPr>
        <w:t xml:space="preserve">un apartado denominado portal del ciudadano, donde se </w:t>
      </w:r>
      <w:r w:rsidR="00FB07E2">
        <w:rPr>
          <w:rFonts w:ascii="Arial" w:hAnsi="Arial" w:cs="Arial"/>
          <w:lang w:eastAsia="es-CR"/>
        </w:rPr>
        <w:t xml:space="preserve">está proyectando </w:t>
      </w:r>
      <w:r w:rsidR="00F67F13">
        <w:rPr>
          <w:rFonts w:ascii="Arial" w:hAnsi="Arial" w:cs="Arial"/>
          <w:lang w:eastAsia="es-CR"/>
        </w:rPr>
        <w:t xml:space="preserve">incorporar los datos públicos que el decreto 40199-MP “Apertura de Datos Públicos” </w:t>
      </w:r>
      <w:r w:rsidR="00E32609">
        <w:rPr>
          <w:rFonts w:ascii="Arial" w:hAnsi="Arial" w:cs="Arial"/>
          <w:lang w:eastAsia="es-CR"/>
        </w:rPr>
        <w:t>solicita.</w:t>
      </w:r>
    </w:p>
    <w:p w14:paraId="5876A2CC" w14:textId="77777777" w:rsidR="006276EC" w:rsidRDefault="006276EC">
      <w:pPr>
        <w:autoSpaceDE w:val="0"/>
        <w:autoSpaceDN w:val="0"/>
        <w:adjustRightInd w:val="0"/>
        <w:contextualSpacing/>
        <w:jc w:val="both"/>
        <w:rPr>
          <w:rFonts w:ascii="Arial" w:hAnsi="Arial" w:cs="Arial"/>
          <w:lang w:eastAsia="es-CR"/>
        </w:rPr>
      </w:pPr>
    </w:p>
    <w:p w14:paraId="5A50408D" w14:textId="36F2AE94" w:rsidR="006276EC" w:rsidRDefault="006276EC" w:rsidP="006C7F40">
      <w:pPr>
        <w:autoSpaceDE w:val="0"/>
        <w:autoSpaceDN w:val="0"/>
        <w:adjustRightInd w:val="0"/>
        <w:contextualSpacing/>
        <w:jc w:val="both"/>
        <w:rPr>
          <w:rFonts w:ascii="Arial" w:hAnsi="Arial" w:cs="Arial"/>
          <w:lang w:eastAsia="es-CR"/>
        </w:rPr>
      </w:pPr>
      <w:r>
        <w:rPr>
          <w:rFonts w:ascii="Arial" w:hAnsi="Arial" w:cs="Arial"/>
          <w:lang w:eastAsia="es-CR"/>
        </w:rPr>
        <w:t xml:space="preserve">Finalmente, siendo que, </w:t>
      </w:r>
      <w:r w:rsidR="002B1173">
        <w:rPr>
          <w:rFonts w:ascii="Arial" w:hAnsi="Arial" w:cs="Arial"/>
          <w:lang w:eastAsia="es-CR"/>
        </w:rPr>
        <w:t>e</w:t>
      </w:r>
      <w:r>
        <w:rPr>
          <w:rFonts w:ascii="Arial" w:hAnsi="Arial" w:cs="Arial"/>
          <w:lang w:eastAsia="es-CR"/>
        </w:rPr>
        <w:t>n fecha 17 de abril del 2022,</w:t>
      </w:r>
      <w:r w:rsidR="002B1173">
        <w:rPr>
          <w:rFonts w:ascii="Arial" w:hAnsi="Arial" w:cs="Arial"/>
          <w:lang w:eastAsia="es-CR"/>
        </w:rPr>
        <w:t xml:space="preserve"> el Ministerio de Hacienda y otras instituciones fueron víctimas de</w:t>
      </w:r>
      <w:r w:rsidRPr="006276EC">
        <w:rPr>
          <w:rFonts w:ascii="Arial" w:hAnsi="Arial" w:cs="Arial"/>
          <w:lang w:eastAsia="es-CR"/>
        </w:rPr>
        <w:t>l hackeo de</w:t>
      </w:r>
      <w:r>
        <w:rPr>
          <w:rFonts w:ascii="Arial" w:hAnsi="Arial" w:cs="Arial"/>
          <w:lang w:eastAsia="es-CR"/>
        </w:rPr>
        <w:t xml:space="preserve"> </w:t>
      </w:r>
      <w:r w:rsidR="002B1173">
        <w:rPr>
          <w:rFonts w:ascii="Arial" w:hAnsi="Arial" w:cs="Arial"/>
          <w:lang w:eastAsia="es-CR"/>
        </w:rPr>
        <w:t>sus</w:t>
      </w:r>
      <w:r w:rsidRPr="006276EC">
        <w:rPr>
          <w:rFonts w:ascii="Arial" w:hAnsi="Arial" w:cs="Arial"/>
          <w:lang w:eastAsia="es-CR"/>
        </w:rPr>
        <w:t xml:space="preserve"> sistemas informáticos</w:t>
      </w:r>
      <w:r w:rsidR="002B1173">
        <w:rPr>
          <w:rFonts w:ascii="Arial" w:hAnsi="Arial" w:cs="Arial"/>
          <w:lang w:eastAsia="es-CR"/>
        </w:rPr>
        <w:t xml:space="preserve"> </w:t>
      </w:r>
      <w:r>
        <w:rPr>
          <w:rFonts w:ascii="Arial" w:hAnsi="Arial" w:cs="Arial"/>
          <w:lang w:eastAsia="es-CR"/>
        </w:rPr>
        <w:t xml:space="preserve">por </w:t>
      </w:r>
      <w:r w:rsidRPr="006276EC">
        <w:rPr>
          <w:rFonts w:ascii="Arial" w:hAnsi="Arial" w:cs="Arial"/>
          <w:lang w:eastAsia="es-CR"/>
        </w:rPr>
        <w:t xml:space="preserve">el grupo de crimen organizado ruso </w:t>
      </w:r>
      <w:r w:rsidR="00754A66">
        <w:rPr>
          <w:rFonts w:ascii="Arial" w:hAnsi="Arial" w:cs="Arial"/>
          <w:lang w:eastAsia="es-CR"/>
        </w:rPr>
        <w:t>denominado</w:t>
      </w:r>
      <w:r w:rsidR="00754A66" w:rsidRPr="006276EC">
        <w:rPr>
          <w:rFonts w:ascii="Arial" w:hAnsi="Arial" w:cs="Arial"/>
          <w:lang w:eastAsia="es-CR"/>
        </w:rPr>
        <w:t xml:space="preserve"> </w:t>
      </w:r>
      <w:r w:rsidRPr="006276EC">
        <w:rPr>
          <w:rFonts w:ascii="Arial" w:hAnsi="Arial" w:cs="Arial"/>
          <w:lang w:eastAsia="es-CR"/>
        </w:rPr>
        <w:t>Conti</w:t>
      </w:r>
      <w:r>
        <w:rPr>
          <w:rFonts w:ascii="Arial" w:hAnsi="Arial" w:cs="Arial"/>
          <w:lang w:eastAsia="es-CR"/>
        </w:rPr>
        <w:t xml:space="preserve">, </w:t>
      </w:r>
      <w:r w:rsidR="006C7F40">
        <w:rPr>
          <w:rFonts w:ascii="Arial" w:hAnsi="Arial" w:cs="Arial"/>
          <w:lang w:eastAsia="es-CR"/>
        </w:rPr>
        <w:t>el Ministerio</w:t>
      </w:r>
      <w:r>
        <w:rPr>
          <w:rFonts w:ascii="Arial" w:hAnsi="Arial" w:cs="Arial"/>
          <w:lang w:eastAsia="es-CR"/>
        </w:rPr>
        <w:t xml:space="preserve"> debió aplicar un Plan de Contingencia para continuar brindando los servicios, por lo que la página web fue sustituida por una en desarrollo, </w:t>
      </w:r>
      <w:r w:rsidR="006C7F40">
        <w:rPr>
          <w:rFonts w:ascii="Arial" w:hAnsi="Arial" w:cs="Arial"/>
          <w:lang w:eastAsia="es-CR"/>
        </w:rPr>
        <w:t xml:space="preserve">en la que, a la fecha, no contiene </w:t>
      </w:r>
      <w:r>
        <w:rPr>
          <w:rFonts w:ascii="Arial" w:hAnsi="Arial" w:cs="Arial"/>
          <w:lang w:eastAsia="es-CR"/>
        </w:rPr>
        <w:t xml:space="preserve">el enlace de transparencia ni pone a disposición datos abiertos. Si se ubica dentro de la misma un enlace relacionado al Presupuesto, el cual contiene un Excel con un comparativo de los presupuestos asignados, un folleto de la Ley de Presupuesto e información de normas de ejecución presupuestaria. </w:t>
      </w:r>
    </w:p>
    <w:p w14:paraId="17204746" w14:textId="77777777" w:rsidR="004662D8" w:rsidRDefault="004662D8" w:rsidP="006C7F40">
      <w:pPr>
        <w:autoSpaceDE w:val="0"/>
        <w:autoSpaceDN w:val="0"/>
        <w:adjustRightInd w:val="0"/>
        <w:contextualSpacing/>
        <w:jc w:val="both"/>
        <w:rPr>
          <w:rFonts w:ascii="Arial" w:hAnsi="Arial" w:cs="Arial"/>
          <w:lang w:eastAsia="es-CR"/>
        </w:rPr>
      </w:pPr>
    </w:p>
    <w:p w14:paraId="53C95642" w14:textId="77777777" w:rsidR="004E15AA" w:rsidRDefault="004E15AA" w:rsidP="006C7F40">
      <w:pPr>
        <w:autoSpaceDE w:val="0"/>
        <w:autoSpaceDN w:val="0"/>
        <w:adjustRightInd w:val="0"/>
        <w:contextualSpacing/>
        <w:jc w:val="both"/>
        <w:rPr>
          <w:rFonts w:ascii="Arial" w:hAnsi="Arial" w:cs="Arial"/>
          <w:lang w:eastAsia="es-CR"/>
        </w:rPr>
      </w:pPr>
    </w:p>
    <w:p w14:paraId="6DFF1789" w14:textId="7E4F447F" w:rsidR="007A4F9E" w:rsidRDefault="0055222A" w:rsidP="00BD5A52">
      <w:pPr>
        <w:pStyle w:val="Ttulo1"/>
        <w:keepNext w:val="0"/>
        <w:keepLines w:val="0"/>
        <w:numPr>
          <w:ilvl w:val="0"/>
          <w:numId w:val="19"/>
        </w:numPr>
        <w:spacing w:before="0" w:after="0" w:line="0" w:lineRule="atLeast"/>
        <w:ind w:left="576" w:right="51" w:hanging="576"/>
        <w:contextualSpacing/>
        <w:jc w:val="both"/>
        <w:rPr>
          <w:rFonts w:ascii="Arial" w:hAnsi="Arial" w:cs="Arial"/>
          <w:b/>
          <w:bCs/>
          <w:color w:val="44546A" w:themeColor="text2"/>
          <w:kern w:val="28"/>
          <w:sz w:val="28"/>
          <w:szCs w:val="28"/>
          <w:lang w:eastAsia="es-ES"/>
        </w:rPr>
      </w:pPr>
      <w:bookmarkStart w:id="71" w:name="_Toc390783329"/>
      <w:bookmarkStart w:id="72" w:name="_Toc104793353"/>
      <w:r w:rsidRPr="007A4F9E">
        <w:rPr>
          <w:rFonts w:ascii="Arial" w:hAnsi="Arial" w:cs="Arial"/>
          <w:b/>
          <w:bCs/>
          <w:color w:val="44546A" w:themeColor="text2"/>
          <w:kern w:val="28"/>
          <w:sz w:val="28"/>
          <w:szCs w:val="28"/>
          <w:lang w:eastAsia="es-ES"/>
        </w:rPr>
        <w:t>RESULTADOS</w:t>
      </w:r>
      <w:bookmarkStart w:id="73" w:name="_Hlk87436709"/>
      <w:bookmarkStart w:id="74" w:name="_Toc390783332"/>
      <w:bookmarkEnd w:id="71"/>
      <w:bookmarkEnd w:id="72"/>
    </w:p>
    <w:p w14:paraId="6E36E2BF" w14:textId="77777777" w:rsidR="00BD5A52" w:rsidRPr="00A43158" w:rsidRDefault="00BD5A52" w:rsidP="00BD5A52">
      <w:pPr>
        <w:spacing w:line="0" w:lineRule="atLeast"/>
        <w:rPr>
          <w:lang w:eastAsia="es-ES"/>
        </w:rPr>
      </w:pPr>
    </w:p>
    <w:p w14:paraId="4AA59C84" w14:textId="77777777" w:rsidR="00A43158" w:rsidRPr="004E15AA" w:rsidRDefault="00A43158" w:rsidP="00BD5A52">
      <w:pPr>
        <w:pStyle w:val="Ttulo1"/>
        <w:numPr>
          <w:ilvl w:val="1"/>
          <w:numId w:val="19"/>
        </w:numPr>
        <w:spacing w:before="0" w:after="0" w:line="0" w:lineRule="atLeast"/>
        <w:ind w:right="51"/>
        <w:contextualSpacing/>
        <w:jc w:val="both"/>
        <w:rPr>
          <w:rFonts w:ascii="Arial" w:hAnsi="Arial" w:cs="Arial"/>
          <w:b/>
          <w:color w:val="44546A" w:themeColor="text2"/>
          <w:sz w:val="24"/>
          <w:szCs w:val="24"/>
          <w:lang w:val="es-ES_tradnl" w:eastAsia="es-ES"/>
        </w:rPr>
      </w:pPr>
      <w:bookmarkStart w:id="75" w:name="_Toc104793354"/>
      <w:bookmarkStart w:id="76" w:name="_Hlk89871108"/>
      <w:bookmarkEnd w:id="73"/>
      <w:r w:rsidRPr="004E15AA">
        <w:rPr>
          <w:rFonts w:ascii="Arial" w:hAnsi="Arial" w:cs="Arial"/>
          <w:b/>
          <w:color w:val="44546A" w:themeColor="text2"/>
          <w:sz w:val="24"/>
          <w:szCs w:val="24"/>
          <w:lang w:val="es-ES_tradnl" w:eastAsia="es-ES"/>
        </w:rPr>
        <w:t xml:space="preserve">Sobre </w:t>
      </w:r>
      <w:r w:rsidR="0029600F">
        <w:rPr>
          <w:rFonts w:ascii="Arial" w:hAnsi="Arial" w:cs="Arial"/>
          <w:b/>
          <w:color w:val="44546A" w:themeColor="text2"/>
          <w:sz w:val="24"/>
          <w:szCs w:val="24"/>
          <w:lang w:val="es-ES_tradnl" w:eastAsia="es-ES"/>
        </w:rPr>
        <w:t xml:space="preserve">el </w:t>
      </w:r>
      <w:r w:rsidRPr="004E15AA">
        <w:rPr>
          <w:rFonts w:ascii="Arial" w:hAnsi="Arial" w:cs="Arial"/>
          <w:b/>
          <w:color w:val="44546A" w:themeColor="text2"/>
          <w:sz w:val="24"/>
          <w:szCs w:val="24"/>
          <w:lang w:val="es-ES_tradnl" w:eastAsia="es-ES"/>
        </w:rPr>
        <w:t>nombramiento de Oficial de Acceso a la información</w:t>
      </w:r>
      <w:bookmarkEnd w:id="75"/>
      <w:r w:rsidRPr="004E15AA">
        <w:rPr>
          <w:rFonts w:ascii="Arial" w:hAnsi="Arial" w:cs="Arial"/>
          <w:b/>
          <w:color w:val="44546A" w:themeColor="text2"/>
          <w:sz w:val="24"/>
          <w:szCs w:val="24"/>
          <w:lang w:val="es-ES_tradnl" w:eastAsia="es-ES"/>
        </w:rPr>
        <w:t xml:space="preserve"> </w:t>
      </w:r>
    </w:p>
    <w:p w14:paraId="4E7259C8" w14:textId="77777777" w:rsidR="00552D74" w:rsidRDefault="00552D74" w:rsidP="00A43158">
      <w:pPr>
        <w:rPr>
          <w:rFonts w:ascii="Arial" w:hAnsi="Arial" w:cs="Arial"/>
          <w:lang w:eastAsia="es-CR"/>
        </w:rPr>
      </w:pPr>
    </w:p>
    <w:p w14:paraId="13EB21BB" w14:textId="33B00A85" w:rsidR="00A43158" w:rsidRDefault="00A43158" w:rsidP="00A43158">
      <w:pPr>
        <w:rPr>
          <w:rFonts w:ascii="Arial" w:hAnsi="Arial" w:cs="Arial"/>
          <w:lang w:eastAsia="es-CR"/>
        </w:rPr>
      </w:pPr>
      <w:r w:rsidRPr="00A43158">
        <w:rPr>
          <w:rFonts w:ascii="Arial" w:hAnsi="Arial" w:cs="Arial"/>
          <w:lang w:eastAsia="es-CR"/>
        </w:rPr>
        <w:t xml:space="preserve">En el artículo </w:t>
      </w:r>
      <w:r w:rsidR="009E75CC">
        <w:rPr>
          <w:rFonts w:ascii="Arial" w:hAnsi="Arial" w:cs="Arial"/>
          <w:lang w:eastAsia="es-CR"/>
        </w:rPr>
        <w:t>N°</w:t>
      </w:r>
      <w:r w:rsidRPr="00A43158">
        <w:rPr>
          <w:rFonts w:ascii="Arial" w:hAnsi="Arial" w:cs="Arial"/>
          <w:lang w:eastAsia="es-CR"/>
        </w:rPr>
        <w:t>10 del Decreto N° 40199-MP “Apertura de Datos Públicos”, se indica:</w:t>
      </w:r>
    </w:p>
    <w:p w14:paraId="3E79AEC4" w14:textId="77777777" w:rsidR="00BD5A52" w:rsidRPr="00A43158" w:rsidRDefault="00BD5A52" w:rsidP="00A43158">
      <w:pPr>
        <w:rPr>
          <w:rFonts w:ascii="Arial" w:hAnsi="Arial" w:cs="Arial"/>
          <w:lang w:eastAsia="es-CR"/>
        </w:rPr>
      </w:pPr>
    </w:p>
    <w:p w14:paraId="5D327902" w14:textId="77777777" w:rsidR="00A43158" w:rsidRDefault="00A43158" w:rsidP="000555E5">
      <w:pPr>
        <w:ind w:left="708" w:right="567"/>
        <w:contextualSpacing/>
        <w:jc w:val="both"/>
        <w:rPr>
          <w:rFonts w:ascii="Arial" w:hAnsi="Arial" w:cs="Arial"/>
          <w:i/>
        </w:rPr>
      </w:pPr>
      <w:r w:rsidRPr="00A43158">
        <w:rPr>
          <w:rFonts w:ascii="Arial" w:hAnsi="Arial" w:cs="Arial"/>
          <w:i/>
        </w:rPr>
        <w:t>“Grupo de Enlaces Institucionales…</w:t>
      </w:r>
      <w:r w:rsidR="00E47846">
        <w:rPr>
          <w:rFonts w:ascii="Arial" w:hAnsi="Arial" w:cs="Arial"/>
          <w:i/>
        </w:rPr>
        <w:t>//</w:t>
      </w:r>
      <w:r w:rsidR="004272F7">
        <w:rPr>
          <w:rFonts w:ascii="Arial" w:hAnsi="Arial" w:cs="Arial"/>
          <w:i/>
        </w:rPr>
        <w:t xml:space="preserve"> </w:t>
      </w:r>
      <w:r w:rsidRPr="00A43158">
        <w:rPr>
          <w:rFonts w:ascii="Arial" w:hAnsi="Arial" w:cs="Arial"/>
          <w:i/>
        </w:rPr>
        <w:t xml:space="preserve">Dichos oficiales tendrán la función de liderar el proceso de publicación de datos abiertos con un equipo multidisciplinario de la institución; de conformidad con la demanda tanto de sociedad civil como de otras instituciones públicas, y además promover el </w:t>
      </w:r>
      <w:proofErr w:type="spellStart"/>
      <w:r w:rsidRPr="00A43158">
        <w:rPr>
          <w:rFonts w:ascii="Arial" w:hAnsi="Arial" w:cs="Arial"/>
          <w:i/>
        </w:rPr>
        <w:t>reuso</w:t>
      </w:r>
      <w:proofErr w:type="spellEnd"/>
      <w:r w:rsidRPr="00A43158">
        <w:rPr>
          <w:rFonts w:ascii="Arial" w:hAnsi="Arial" w:cs="Arial"/>
          <w:i/>
        </w:rPr>
        <w:t xml:space="preserve"> de los datos publicados.”</w:t>
      </w:r>
    </w:p>
    <w:p w14:paraId="74591977" w14:textId="77777777" w:rsidR="00A43158" w:rsidRPr="00A43158" w:rsidRDefault="00A43158" w:rsidP="00A43158">
      <w:pPr>
        <w:jc w:val="both"/>
        <w:rPr>
          <w:rFonts w:ascii="Arial" w:hAnsi="Arial" w:cs="Arial"/>
          <w:i/>
          <w:lang w:eastAsia="es-CR"/>
        </w:rPr>
      </w:pPr>
    </w:p>
    <w:p w14:paraId="1932DEF9" w14:textId="13642D0F" w:rsidR="00A43158" w:rsidRDefault="00A43158" w:rsidP="00A43158">
      <w:pPr>
        <w:jc w:val="both"/>
        <w:rPr>
          <w:rFonts w:ascii="Arial" w:hAnsi="Arial" w:cs="Arial"/>
          <w:lang w:eastAsia="es-CR"/>
        </w:rPr>
      </w:pPr>
      <w:r w:rsidRPr="00A43158">
        <w:rPr>
          <w:rFonts w:ascii="Arial" w:hAnsi="Arial" w:cs="Arial"/>
          <w:lang w:eastAsia="es-CR"/>
        </w:rPr>
        <w:lastRenderedPageBreak/>
        <w:t>El oficial de acceso a la información</w:t>
      </w:r>
      <w:r w:rsidR="00E50E1D">
        <w:rPr>
          <w:rFonts w:ascii="Arial" w:hAnsi="Arial" w:cs="Arial"/>
          <w:lang w:eastAsia="es-CR"/>
        </w:rPr>
        <w:t>, quien actualmente es la Jefatura de la Contraloría de Servicios,</w:t>
      </w:r>
      <w:r w:rsidRPr="00A43158">
        <w:rPr>
          <w:rFonts w:ascii="Arial" w:hAnsi="Arial" w:cs="Arial"/>
          <w:lang w:eastAsia="es-CR"/>
        </w:rPr>
        <w:t xml:space="preserve"> no está realizando la función de liderazgo del proceso de publicación de datos</w:t>
      </w:r>
      <w:r w:rsidR="007507EC">
        <w:rPr>
          <w:rFonts w:ascii="Arial" w:hAnsi="Arial" w:cs="Arial"/>
          <w:lang w:eastAsia="es-CR"/>
        </w:rPr>
        <w:t>.</w:t>
      </w:r>
    </w:p>
    <w:p w14:paraId="4FA0A9EF" w14:textId="77777777" w:rsidR="00B76A26" w:rsidRDefault="00B76A26" w:rsidP="00A43158">
      <w:pPr>
        <w:jc w:val="both"/>
        <w:rPr>
          <w:rFonts w:ascii="Arial" w:hAnsi="Arial" w:cs="Arial"/>
          <w:lang w:eastAsia="es-CR"/>
        </w:rPr>
      </w:pPr>
    </w:p>
    <w:p w14:paraId="61A4077F" w14:textId="77777777" w:rsidR="00A43158" w:rsidRDefault="00A43158" w:rsidP="00A43158">
      <w:pPr>
        <w:jc w:val="both"/>
        <w:rPr>
          <w:rFonts w:ascii="Arial" w:hAnsi="Arial" w:cs="Arial"/>
          <w:lang w:eastAsia="es-CR"/>
        </w:rPr>
      </w:pPr>
      <w:r w:rsidRPr="00A43158">
        <w:rPr>
          <w:rFonts w:ascii="Arial" w:hAnsi="Arial" w:cs="Arial"/>
          <w:lang w:eastAsia="es-CR"/>
        </w:rPr>
        <w:t>Esta condición obedece a que no se efectuó un nombramiento y asignación de tareas formal al funcionario designado como Oficial de acceso a la información.</w:t>
      </w:r>
    </w:p>
    <w:p w14:paraId="6CC06C86" w14:textId="77777777" w:rsidR="00A43158" w:rsidRPr="00A43158" w:rsidRDefault="00A43158" w:rsidP="00A43158">
      <w:pPr>
        <w:jc w:val="both"/>
        <w:rPr>
          <w:rFonts w:ascii="Arial" w:hAnsi="Arial" w:cs="Arial"/>
          <w:lang w:eastAsia="es-CR"/>
        </w:rPr>
      </w:pPr>
    </w:p>
    <w:p w14:paraId="2D104545" w14:textId="5724344C" w:rsidR="008743E7" w:rsidRDefault="00A43158" w:rsidP="00A43158">
      <w:pPr>
        <w:jc w:val="both"/>
        <w:rPr>
          <w:rFonts w:ascii="Arial" w:hAnsi="Arial" w:cs="Arial"/>
          <w:lang w:eastAsia="es-CR"/>
        </w:rPr>
      </w:pPr>
      <w:r w:rsidRPr="00A43158">
        <w:rPr>
          <w:rFonts w:ascii="Arial" w:hAnsi="Arial" w:cs="Arial"/>
          <w:lang w:eastAsia="es-CR"/>
        </w:rPr>
        <w:t xml:space="preserve">La situación </w:t>
      </w:r>
      <w:r w:rsidR="002948B5" w:rsidRPr="00A43158">
        <w:rPr>
          <w:rFonts w:ascii="Arial" w:hAnsi="Arial" w:cs="Arial"/>
          <w:lang w:eastAsia="es-CR"/>
        </w:rPr>
        <w:t>expuesta</w:t>
      </w:r>
      <w:r w:rsidR="00F7175C">
        <w:rPr>
          <w:rFonts w:ascii="Arial" w:hAnsi="Arial" w:cs="Arial"/>
          <w:lang w:eastAsia="es-CR"/>
        </w:rPr>
        <w:t xml:space="preserve"> </w:t>
      </w:r>
      <w:r w:rsidR="00B76A26">
        <w:rPr>
          <w:rFonts w:ascii="Arial" w:hAnsi="Arial" w:cs="Arial"/>
          <w:lang w:eastAsia="es-CR"/>
        </w:rPr>
        <w:t>genera</w:t>
      </w:r>
      <w:r w:rsidR="009E75CC">
        <w:rPr>
          <w:rFonts w:ascii="Arial" w:hAnsi="Arial" w:cs="Arial"/>
          <w:lang w:eastAsia="es-CR"/>
        </w:rPr>
        <w:t xml:space="preserve"> problemas de gobernanza en el proceso, pues ocasiona</w:t>
      </w:r>
      <w:r w:rsidR="00B76A26">
        <w:rPr>
          <w:rFonts w:ascii="Arial" w:hAnsi="Arial" w:cs="Arial"/>
          <w:lang w:eastAsia="es-CR"/>
        </w:rPr>
        <w:t xml:space="preserve"> </w:t>
      </w:r>
      <w:r w:rsidR="008743E7">
        <w:rPr>
          <w:rFonts w:ascii="Arial" w:hAnsi="Arial" w:cs="Arial"/>
          <w:lang w:eastAsia="es-CR"/>
        </w:rPr>
        <w:t xml:space="preserve">falta de dirección, coordinación y definición de estrategias en el proceso de apertura de datos públicos del Ministerio de Hacienda, influyendo directamente </w:t>
      </w:r>
      <w:r w:rsidR="008743E7" w:rsidRPr="00A43158">
        <w:rPr>
          <w:rFonts w:ascii="Arial" w:hAnsi="Arial" w:cs="Arial"/>
          <w:lang w:eastAsia="es-CR"/>
        </w:rPr>
        <w:t xml:space="preserve">en </w:t>
      </w:r>
      <w:r w:rsidR="009E75CC">
        <w:rPr>
          <w:rFonts w:ascii="Arial" w:hAnsi="Arial" w:cs="Arial"/>
          <w:lang w:eastAsia="es-CR"/>
        </w:rPr>
        <w:t xml:space="preserve">el </w:t>
      </w:r>
      <w:r w:rsidR="008743E7" w:rsidRPr="00A43158">
        <w:rPr>
          <w:rFonts w:ascii="Arial" w:hAnsi="Arial" w:cs="Arial"/>
          <w:lang w:eastAsia="es-CR"/>
        </w:rPr>
        <w:t xml:space="preserve">acceso a la información y transparencia proactiva, afectando </w:t>
      </w:r>
      <w:r w:rsidR="00991E8D">
        <w:rPr>
          <w:rFonts w:ascii="Arial" w:hAnsi="Arial" w:cs="Arial"/>
          <w:lang w:eastAsia="es-CR"/>
        </w:rPr>
        <w:t>la</w:t>
      </w:r>
      <w:r w:rsidR="008743E7" w:rsidRPr="00A43158">
        <w:rPr>
          <w:rFonts w:ascii="Arial" w:hAnsi="Arial" w:cs="Arial"/>
          <w:lang w:eastAsia="es-CR"/>
        </w:rPr>
        <w:t xml:space="preserve"> rendición de cuentas</w:t>
      </w:r>
      <w:r w:rsidR="008743E7">
        <w:rPr>
          <w:rFonts w:ascii="Arial" w:hAnsi="Arial" w:cs="Arial"/>
          <w:lang w:eastAsia="es-CR"/>
        </w:rPr>
        <w:t xml:space="preserve"> a los ciudadanos</w:t>
      </w:r>
      <w:r w:rsidR="009E75CC">
        <w:rPr>
          <w:rFonts w:ascii="Arial" w:hAnsi="Arial" w:cs="Arial"/>
          <w:lang w:eastAsia="es-CR"/>
        </w:rPr>
        <w:t xml:space="preserve">; así como el </w:t>
      </w:r>
      <w:r w:rsidR="008743E7">
        <w:rPr>
          <w:rFonts w:ascii="Arial" w:hAnsi="Arial" w:cs="Arial"/>
          <w:lang w:eastAsia="es-CR"/>
        </w:rPr>
        <w:t>incumplimiento a la normativa vinculante.</w:t>
      </w:r>
    </w:p>
    <w:p w14:paraId="22F724E6" w14:textId="77777777" w:rsidR="004662D8" w:rsidRDefault="004662D8" w:rsidP="00A43158">
      <w:pPr>
        <w:jc w:val="both"/>
        <w:rPr>
          <w:rFonts w:ascii="Arial" w:hAnsi="Arial" w:cs="Arial"/>
          <w:lang w:eastAsia="es-CR"/>
        </w:rPr>
      </w:pPr>
    </w:p>
    <w:p w14:paraId="7CF63801" w14:textId="0CCF7115" w:rsidR="00574C81" w:rsidRDefault="00574C81" w:rsidP="00A43158">
      <w:pPr>
        <w:jc w:val="both"/>
        <w:rPr>
          <w:rFonts w:ascii="Arial" w:hAnsi="Arial" w:cs="Arial"/>
          <w:lang w:eastAsia="es-CR"/>
        </w:rPr>
      </w:pPr>
    </w:p>
    <w:p w14:paraId="4156CB44" w14:textId="5ECCCCF4" w:rsidR="00552D74" w:rsidRDefault="00590CCE" w:rsidP="000555E5">
      <w:pPr>
        <w:pStyle w:val="Ttulo1"/>
        <w:keepNext w:val="0"/>
        <w:keepLines w:val="0"/>
        <w:numPr>
          <w:ilvl w:val="1"/>
          <w:numId w:val="19"/>
        </w:numPr>
        <w:spacing w:before="0" w:after="0"/>
        <w:ind w:left="567" w:right="51" w:hanging="567"/>
        <w:contextualSpacing/>
        <w:jc w:val="both"/>
        <w:rPr>
          <w:rFonts w:ascii="Arial" w:hAnsi="Arial" w:cs="Arial"/>
          <w:b/>
          <w:color w:val="44546A" w:themeColor="text2"/>
          <w:sz w:val="24"/>
          <w:szCs w:val="24"/>
          <w:lang w:val="es-ES_tradnl" w:eastAsia="es-ES"/>
        </w:rPr>
      </w:pPr>
      <w:bookmarkStart w:id="77" w:name="_Toc104793355"/>
      <w:r>
        <w:rPr>
          <w:rFonts w:ascii="Arial" w:hAnsi="Arial" w:cs="Arial"/>
          <w:b/>
          <w:color w:val="44546A" w:themeColor="text2"/>
          <w:sz w:val="24"/>
          <w:szCs w:val="24"/>
          <w:lang w:val="es-ES_tradnl" w:eastAsia="es-ES"/>
        </w:rPr>
        <w:t xml:space="preserve">Gobernanza del </w:t>
      </w:r>
      <w:r w:rsidR="00F7175C">
        <w:rPr>
          <w:rFonts w:ascii="Arial" w:hAnsi="Arial" w:cs="Arial"/>
          <w:b/>
          <w:color w:val="44546A" w:themeColor="text2"/>
          <w:sz w:val="24"/>
          <w:szCs w:val="24"/>
          <w:lang w:val="es-ES_tradnl" w:eastAsia="es-ES"/>
        </w:rPr>
        <w:t>proceso de</w:t>
      </w:r>
      <w:r w:rsidR="00552D74">
        <w:rPr>
          <w:rFonts w:ascii="Arial" w:hAnsi="Arial" w:cs="Arial"/>
          <w:b/>
          <w:color w:val="44546A" w:themeColor="text2"/>
          <w:sz w:val="24"/>
          <w:szCs w:val="24"/>
          <w:lang w:val="es-ES_tradnl" w:eastAsia="es-ES"/>
        </w:rPr>
        <w:t xml:space="preserve"> apertura de datos</w:t>
      </w:r>
      <w:r w:rsidR="00F7175C">
        <w:rPr>
          <w:rFonts w:ascii="Arial" w:hAnsi="Arial" w:cs="Arial"/>
          <w:b/>
          <w:color w:val="44546A" w:themeColor="text2"/>
          <w:sz w:val="24"/>
          <w:szCs w:val="24"/>
          <w:lang w:val="es-ES_tradnl" w:eastAsia="es-ES"/>
        </w:rPr>
        <w:t xml:space="preserve"> abiertos</w:t>
      </w:r>
      <w:bookmarkEnd w:id="77"/>
      <w:r w:rsidR="00F7175C">
        <w:rPr>
          <w:rFonts w:ascii="Arial" w:hAnsi="Arial" w:cs="Arial"/>
          <w:b/>
          <w:color w:val="44546A" w:themeColor="text2"/>
          <w:sz w:val="24"/>
          <w:szCs w:val="24"/>
          <w:lang w:val="es-ES_tradnl" w:eastAsia="es-ES"/>
        </w:rPr>
        <w:t xml:space="preserve"> </w:t>
      </w:r>
    </w:p>
    <w:p w14:paraId="71DF8C8C" w14:textId="77777777" w:rsidR="004662D8" w:rsidRPr="004662D8" w:rsidRDefault="004662D8" w:rsidP="004662D8">
      <w:pPr>
        <w:rPr>
          <w:lang w:val="es-ES_tradnl" w:eastAsia="es-ES"/>
        </w:rPr>
      </w:pPr>
    </w:p>
    <w:p w14:paraId="39C0D096" w14:textId="77777777" w:rsidR="00F7175C" w:rsidRPr="00F7175C" w:rsidRDefault="00F7175C" w:rsidP="000555E5">
      <w:pPr>
        <w:contextualSpacing/>
        <w:rPr>
          <w:lang w:val="es-ES_tradnl" w:eastAsia="es-ES"/>
        </w:rPr>
      </w:pPr>
    </w:p>
    <w:p w14:paraId="350EDF03" w14:textId="77777777" w:rsidR="006650F2" w:rsidRPr="00EB2A0F" w:rsidRDefault="00505875" w:rsidP="000555E5">
      <w:pPr>
        <w:pStyle w:val="Ttulo1"/>
        <w:keepNext w:val="0"/>
        <w:keepLines w:val="0"/>
        <w:numPr>
          <w:ilvl w:val="2"/>
          <w:numId w:val="19"/>
        </w:numPr>
        <w:spacing w:before="0" w:after="0"/>
        <w:ind w:left="0" w:right="51" w:firstLine="0"/>
        <w:contextualSpacing/>
        <w:jc w:val="both"/>
        <w:rPr>
          <w:rFonts w:ascii="Arial" w:hAnsi="Arial" w:cs="Arial"/>
          <w:i/>
        </w:rPr>
      </w:pPr>
      <w:r w:rsidRPr="00505875">
        <w:rPr>
          <w:rFonts w:ascii="Arial" w:hAnsi="Arial" w:cs="Arial"/>
          <w:b/>
          <w:color w:val="44546A" w:themeColor="text2"/>
          <w:sz w:val="24"/>
          <w:szCs w:val="24"/>
          <w:lang w:val="es-ES_tradnl" w:eastAsia="es-ES"/>
        </w:rPr>
        <w:t xml:space="preserve"> </w:t>
      </w:r>
      <w:bookmarkStart w:id="78" w:name="_Toc104793356"/>
      <w:bookmarkEnd w:id="76"/>
      <w:r w:rsidR="00E46F5C">
        <w:rPr>
          <w:rFonts w:ascii="Arial" w:hAnsi="Arial" w:cs="Arial"/>
          <w:b/>
          <w:color w:val="44546A" w:themeColor="text2"/>
          <w:sz w:val="24"/>
          <w:szCs w:val="24"/>
          <w:lang w:val="es-ES_tradnl" w:eastAsia="es-ES"/>
        </w:rPr>
        <w:t>Omisiones y</w:t>
      </w:r>
      <w:r w:rsidR="00B40752">
        <w:rPr>
          <w:rFonts w:ascii="Arial" w:hAnsi="Arial" w:cs="Arial"/>
          <w:b/>
          <w:color w:val="44546A" w:themeColor="text2"/>
          <w:sz w:val="24"/>
          <w:szCs w:val="24"/>
          <w:lang w:val="es-ES_tradnl" w:eastAsia="es-ES"/>
        </w:rPr>
        <w:t xml:space="preserve"> desactualizaciones de datos públicos</w:t>
      </w:r>
      <w:bookmarkEnd w:id="78"/>
    </w:p>
    <w:p w14:paraId="168E4BBC" w14:textId="77777777" w:rsidR="00441974" w:rsidRDefault="00441974" w:rsidP="000555E5">
      <w:pPr>
        <w:contextualSpacing/>
        <w:jc w:val="both"/>
        <w:rPr>
          <w:rFonts w:ascii="Arial" w:hAnsi="Arial" w:cs="Arial"/>
          <w:i/>
        </w:rPr>
      </w:pPr>
    </w:p>
    <w:p w14:paraId="6BFC365F" w14:textId="32D104CB" w:rsidR="006650F2" w:rsidRPr="000555E5" w:rsidRDefault="006650F2" w:rsidP="000555E5">
      <w:pPr>
        <w:contextualSpacing/>
        <w:jc w:val="both"/>
        <w:rPr>
          <w:rFonts w:ascii="Arial" w:hAnsi="Arial" w:cs="Arial"/>
        </w:rPr>
      </w:pPr>
      <w:r w:rsidRPr="000555E5">
        <w:rPr>
          <w:rFonts w:ascii="Arial" w:hAnsi="Arial" w:cs="Arial"/>
        </w:rPr>
        <w:t>El decreto N° 40199-MP</w:t>
      </w:r>
      <w:r w:rsidR="004272F7" w:rsidRPr="000555E5">
        <w:rPr>
          <w:rFonts w:ascii="Arial" w:hAnsi="Arial" w:cs="Arial"/>
        </w:rPr>
        <w:t xml:space="preserve"> antes citado</w:t>
      </w:r>
      <w:r w:rsidRPr="000555E5">
        <w:rPr>
          <w:rFonts w:ascii="Arial" w:hAnsi="Arial" w:cs="Arial"/>
        </w:rPr>
        <w:t xml:space="preserve">, señala </w:t>
      </w:r>
      <w:r w:rsidR="00441974" w:rsidRPr="000555E5">
        <w:rPr>
          <w:rFonts w:ascii="Arial" w:hAnsi="Arial" w:cs="Arial"/>
        </w:rPr>
        <w:t xml:space="preserve">en el artículo </w:t>
      </w:r>
      <w:r w:rsidR="00E50E1D">
        <w:rPr>
          <w:rFonts w:ascii="Arial" w:hAnsi="Arial" w:cs="Arial"/>
        </w:rPr>
        <w:t>N°</w:t>
      </w:r>
      <w:r w:rsidR="00441974" w:rsidRPr="000555E5">
        <w:rPr>
          <w:rFonts w:ascii="Arial" w:hAnsi="Arial" w:cs="Arial"/>
        </w:rPr>
        <w:t>17</w:t>
      </w:r>
      <w:r w:rsidR="00C13D8B" w:rsidRPr="000555E5">
        <w:rPr>
          <w:rFonts w:ascii="Arial" w:hAnsi="Arial" w:cs="Arial"/>
        </w:rPr>
        <w:t xml:space="preserve"> que las instituciones están obligadas a publicar y actualizar en el sitio Web oficial y en el Portal Nacional y en formato abierto, neutral e interoperable, un listado de conjuntos de datos públicos, tales como datos de los presupuestos institucionales, su ejecución y evaluación, datos de los resultados del proceso de evaluación de desempeño de los funcionarios; datos de soporte de los informes de la auditoría interna sobre la gestión institucional, los informes de la Contraloría General de la República o Auditorías Externas, entre otros</w:t>
      </w:r>
      <w:r w:rsidR="00E50E1D">
        <w:rPr>
          <w:rFonts w:ascii="Arial" w:hAnsi="Arial" w:cs="Arial"/>
        </w:rPr>
        <w:t>,</w:t>
      </w:r>
      <w:r w:rsidR="00C13D8B" w:rsidRPr="000555E5">
        <w:rPr>
          <w:rFonts w:ascii="Arial" w:hAnsi="Arial" w:cs="Arial"/>
        </w:rPr>
        <w:t xml:space="preserve"> que se detallan en artículo en mención.</w:t>
      </w:r>
    </w:p>
    <w:p w14:paraId="45BEDADD" w14:textId="77777777" w:rsidR="00A4533E" w:rsidRPr="0089464D" w:rsidRDefault="00A4533E" w:rsidP="00C13D8B">
      <w:pPr>
        <w:contextualSpacing/>
        <w:rPr>
          <w:rFonts w:ascii="Arial" w:hAnsi="Arial" w:cs="Arial"/>
          <w:b/>
        </w:rPr>
      </w:pPr>
    </w:p>
    <w:p w14:paraId="45DF2FF8" w14:textId="17B1ACA0" w:rsidR="003D53AA" w:rsidRDefault="000F0D7A">
      <w:pPr>
        <w:contextualSpacing/>
        <w:jc w:val="both"/>
        <w:rPr>
          <w:rFonts w:ascii="Arial" w:hAnsi="Arial" w:cs="Arial"/>
        </w:rPr>
      </w:pPr>
      <w:r w:rsidRPr="000F0D7A">
        <w:rPr>
          <w:rFonts w:ascii="Arial" w:hAnsi="Arial" w:cs="Arial"/>
        </w:rPr>
        <w:t>La página web del Ministerio</w:t>
      </w:r>
      <w:r w:rsidR="003D53AA">
        <w:rPr>
          <w:rFonts w:ascii="Arial" w:hAnsi="Arial" w:cs="Arial"/>
        </w:rPr>
        <w:t xml:space="preserve"> de Hacienda</w:t>
      </w:r>
      <w:r w:rsidRPr="000F0D7A">
        <w:rPr>
          <w:rFonts w:ascii="Arial" w:hAnsi="Arial" w:cs="Arial"/>
        </w:rPr>
        <w:t xml:space="preserve"> no </w:t>
      </w:r>
      <w:r w:rsidR="006149A5">
        <w:rPr>
          <w:rFonts w:ascii="Arial" w:hAnsi="Arial" w:cs="Arial"/>
        </w:rPr>
        <w:t>posee</w:t>
      </w:r>
      <w:r w:rsidRPr="000F0D7A">
        <w:rPr>
          <w:rFonts w:ascii="Arial" w:hAnsi="Arial" w:cs="Arial"/>
        </w:rPr>
        <w:t xml:space="preserve"> datos</w:t>
      </w:r>
      <w:r w:rsidR="006149A5">
        <w:rPr>
          <w:rFonts w:ascii="Arial" w:hAnsi="Arial" w:cs="Arial"/>
        </w:rPr>
        <w:t xml:space="preserve"> o se encuentran desactualizados</w:t>
      </w:r>
      <w:r w:rsidR="003D53AA">
        <w:rPr>
          <w:rFonts w:ascii="Arial" w:hAnsi="Arial" w:cs="Arial"/>
        </w:rPr>
        <w:t>, tal como se observa en lo siguiente:</w:t>
      </w:r>
      <w:r w:rsidR="006149A5">
        <w:rPr>
          <w:rFonts w:ascii="Arial" w:hAnsi="Arial" w:cs="Arial"/>
        </w:rPr>
        <w:t xml:space="preserve"> </w:t>
      </w:r>
    </w:p>
    <w:p w14:paraId="0FCF1A4A" w14:textId="77777777" w:rsidR="0049782B" w:rsidRDefault="0049782B">
      <w:pPr>
        <w:contextualSpacing/>
        <w:jc w:val="both"/>
        <w:rPr>
          <w:rFonts w:ascii="Arial" w:hAnsi="Arial" w:cs="Arial"/>
          <w:b/>
        </w:rPr>
      </w:pPr>
    </w:p>
    <w:p w14:paraId="1B7A8379" w14:textId="6D87DA50" w:rsidR="003D53AA" w:rsidRDefault="00B40752">
      <w:pPr>
        <w:contextualSpacing/>
        <w:jc w:val="both"/>
        <w:rPr>
          <w:rFonts w:ascii="Arial" w:hAnsi="Arial" w:cs="Arial"/>
          <w:b/>
        </w:rPr>
      </w:pPr>
      <w:r w:rsidRPr="00E46F5C">
        <w:rPr>
          <w:rFonts w:ascii="Arial" w:hAnsi="Arial" w:cs="Arial"/>
          <w:b/>
        </w:rPr>
        <w:t>Omisiones</w:t>
      </w:r>
    </w:p>
    <w:p w14:paraId="46127E0A" w14:textId="77777777" w:rsidR="0075402E" w:rsidRDefault="0075402E">
      <w:pPr>
        <w:contextualSpacing/>
        <w:jc w:val="both"/>
        <w:rPr>
          <w:rFonts w:ascii="Arial" w:hAnsi="Arial" w:cs="Arial"/>
        </w:rPr>
      </w:pPr>
    </w:p>
    <w:p w14:paraId="4E7A319B" w14:textId="77777777" w:rsidR="00E46F5C" w:rsidRDefault="00276340" w:rsidP="00E46F5C">
      <w:pPr>
        <w:pStyle w:val="Prrafodelista"/>
        <w:numPr>
          <w:ilvl w:val="0"/>
          <w:numId w:val="26"/>
        </w:numPr>
        <w:jc w:val="both"/>
        <w:rPr>
          <w:rFonts w:ascii="Arial" w:hAnsi="Arial" w:cs="Arial"/>
        </w:rPr>
      </w:pPr>
      <w:r>
        <w:rPr>
          <w:rFonts w:ascii="Arial" w:hAnsi="Arial" w:cs="Arial"/>
        </w:rPr>
        <w:t>L</w:t>
      </w:r>
      <w:r w:rsidR="009A086C" w:rsidRPr="00E46F5C">
        <w:rPr>
          <w:rFonts w:ascii="Arial" w:hAnsi="Arial" w:cs="Arial"/>
        </w:rPr>
        <w:t>a lista de funcionarios, cargo y datos de contacto</w:t>
      </w:r>
      <w:r>
        <w:rPr>
          <w:rFonts w:ascii="Arial" w:hAnsi="Arial" w:cs="Arial"/>
        </w:rPr>
        <w:t>.</w:t>
      </w:r>
    </w:p>
    <w:p w14:paraId="40CDD755" w14:textId="69B2D873" w:rsidR="003A1809" w:rsidRDefault="003A1809" w:rsidP="00E46F5C">
      <w:pPr>
        <w:pStyle w:val="Prrafodelista"/>
        <w:numPr>
          <w:ilvl w:val="0"/>
          <w:numId w:val="26"/>
        </w:numPr>
        <w:jc w:val="both"/>
        <w:rPr>
          <w:rFonts w:ascii="Arial" w:hAnsi="Arial" w:cs="Arial"/>
        </w:rPr>
      </w:pPr>
      <w:r>
        <w:rPr>
          <w:rFonts w:ascii="Arial" w:hAnsi="Arial" w:cs="Arial"/>
        </w:rPr>
        <w:t>D</w:t>
      </w:r>
      <w:r w:rsidRPr="003A1809">
        <w:rPr>
          <w:rFonts w:ascii="Arial" w:hAnsi="Arial" w:cs="Arial"/>
        </w:rPr>
        <w:t xml:space="preserve">atos </w:t>
      </w:r>
      <w:r w:rsidR="00600189" w:rsidRPr="003A1809">
        <w:rPr>
          <w:rFonts w:ascii="Arial" w:hAnsi="Arial" w:cs="Arial"/>
        </w:rPr>
        <w:t>de soporte de las actas de los órganos colegiados establecidos por ley, quedando a salvo información de acceso restringido por expresa disposición legal</w:t>
      </w:r>
      <w:r w:rsidR="00E50E1D">
        <w:rPr>
          <w:rFonts w:ascii="Arial" w:hAnsi="Arial" w:cs="Arial"/>
        </w:rPr>
        <w:t>.</w:t>
      </w:r>
    </w:p>
    <w:p w14:paraId="33CAB16B" w14:textId="77777777" w:rsidR="003A1809" w:rsidRDefault="003A1809" w:rsidP="00E46F5C">
      <w:pPr>
        <w:pStyle w:val="Prrafodelista"/>
        <w:numPr>
          <w:ilvl w:val="0"/>
          <w:numId w:val="26"/>
        </w:numPr>
        <w:jc w:val="both"/>
        <w:rPr>
          <w:rFonts w:ascii="Arial" w:hAnsi="Arial" w:cs="Arial"/>
        </w:rPr>
      </w:pPr>
      <w:r>
        <w:rPr>
          <w:rFonts w:ascii="Arial" w:hAnsi="Arial" w:cs="Arial"/>
        </w:rPr>
        <w:t>D</w:t>
      </w:r>
      <w:r w:rsidR="00600189" w:rsidRPr="003A1809">
        <w:rPr>
          <w:rFonts w:ascii="Arial" w:hAnsi="Arial" w:cs="Arial"/>
        </w:rPr>
        <w:t>atos de solicitudes de información, peticiones, denuncias y sugerencias para el mejoramiento de la función de la institución, así como cualquier otro medio de participación ciudadana</w:t>
      </w:r>
      <w:r>
        <w:rPr>
          <w:rFonts w:ascii="Arial" w:hAnsi="Arial" w:cs="Arial"/>
        </w:rPr>
        <w:t>.</w:t>
      </w:r>
    </w:p>
    <w:p w14:paraId="02053209" w14:textId="77777777" w:rsidR="000B29C9" w:rsidRPr="003A1809" w:rsidRDefault="003A1809" w:rsidP="00E46F5C">
      <w:pPr>
        <w:pStyle w:val="Prrafodelista"/>
        <w:numPr>
          <w:ilvl w:val="0"/>
          <w:numId w:val="26"/>
        </w:numPr>
        <w:jc w:val="both"/>
        <w:rPr>
          <w:rFonts w:ascii="Arial" w:hAnsi="Arial" w:cs="Arial"/>
        </w:rPr>
      </w:pPr>
      <w:r>
        <w:rPr>
          <w:rFonts w:ascii="Arial" w:hAnsi="Arial" w:cs="Arial"/>
        </w:rPr>
        <w:t>D</w:t>
      </w:r>
      <w:r w:rsidR="00600189" w:rsidRPr="003A1809">
        <w:rPr>
          <w:rFonts w:ascii="Arial" w:hAnsi="Arial" w:cs="Arial"/>
        </w:rPr>
        <w:t>atos de los subsidios, becas, donaciones, exoneraciones o cualquier otra transferencia o beneficio otorgado a personas particulares, sin perjuicio de lo determinado en la Ley de Protección de la Persona Frente al Tratamiento de sus Datos Personales, norma número 8968</w:t>
      </w:r>
      <w:r w:rsidR="00B76A26">
        <w:rPr>
          <w:rFonts w:ascii="Arial" w:hAnsi="Arial" w:cs="Arial"/>
        </w:rPr>
        <w:t>.</w:t>
      </w:r>
      <w:r w:rsidR="000B29C9" w:rsidRPr="003A1809">
        <w:rPr>
          <w:rFonts w:ascii="Arial" w:hAnsi="Arial" w:cs="Arial"/>
        </w:rPr>
        <w:t xml:space="preserve"> </w:t>
      </w:r>
    </w:p>
    <w:p w14:paraId="1C5D46C8" w14:textId="77777777" w:rsidR="000B29C9" w:rsidRDefault="000B29C9">
      <w:pPr>
        <w:contextualSpacing/>
        <w:jc w:val="both"/>
        <w:rPr>
          <w:rFonts w:ascii="Arial" w:hAnsi="Arial" w:cs="Arial"/>
        </w:rPr>
      </w:pPr>
    </w:p>
    <w:p w14:paraId="41713363" w14:textId="77777777" w:rsidR="00B40752" w:rsidRDefault="00B40752">
      <w:pPr>
        <w:contextualSpacing/>
        <w:jc w:val="both"/>
        <w:rPr>
          <w:rFonts w:ascii="Arial" w:hAnsi="Arial" w:cs="Arial"/>
          <w:b/>
        </w:rPr>
      </w:pPr>
      <w:r w:rsidRPr="008743E7">
        <w:rPr>
          <w:rFonts w:ascii="Arial" w:hAnsi="Arial" w:cs="Arial"/>
          <w:b/>
        </w:rPr>
        <w:t>Desactualizaciones</w:t>
      </w:r>
    </w:p>
    <w:p w14:paraId="2ECD2772" w14:textId="77777777" w:rsidR="0075402E" w:rsidRPr="008743E7" w:rsidRDefault="0075402E">
      <w:pPr>
        <w:contextualSpacing/>
        <w:jc w:val="both"/>
        <w:rPr>
          <w:rFonts w:ascii="Arial" w:hAnsi="Arial" w:cs="Arial"/>
          <w:b/>
        </w:rPr>
      </w:pPr>
    </w:p>
    <w:p w14:paraId="0F6F0906" w14:textId="77777777" w:rsidR="003A1809" w:rsidRDefault="009A086C" w:rsidP="003A1809">
      <w:pPr>
        <w:pStyle w:val="Prrafodelista"/>
        <w:numPr>
          <w:ilvl w:val="0"/>
          <w:numId w:val="27"/>
        </w:numPr>
        <w:jc w:val="both"/>
      </w:pPr>
      <w:r w:rsidRPr="003A1809">
        <w:rPr>
          <w:rFonts w:ascii="Arial" w:hAnsi="Arial" w:cs="Arial"/>
        </w:rPr>
        <w:t>Datos de los resultados del proceso de evaluación de desempeño de los funcionarios</w:t>
      </w:r>
      <w:r w:rsidR="003A1809">
        <w:t>.</w:t>
      </w:r>
    </w:p>
    <w:p w14:paraId="31B9DF08" w14:textId="77777777" w:rsidR="000F0D7A" w:rsidRPr="0075402E" w:rsidRDefault="009A086C" w:rsidP="0075402E">
      <w:pPr>
        <w:pStyle w:val="Prrafodelista"/>
        <w:numPr>
          <w:ilvl w:val="0"/>
          <w:numId w:val="27"/>
        </w:numPr>
        <w:jc w:val="both"/>
        <w:rPr>
          <w:rFonts w:ascii="Arial" w:hAnsi="Arial" w:cs="Arial"/>
        </w:rPr>
      </w:pPr>
      <w:r w:rsidRPr="003A1809">
        <w:rPr>
          <w:rFonts w:ascii="Arial" w:hAnsi="Arial" w:cs="Arial"/>
        </w:rPr>
        <w:lastRenderedPageBreak/>
        <w:t xml:space="preserve">Datos de soporte de las memorias anuales y otros informes de gestión, </w:t>
      </w:r>
      <w:r w:rsidR="00600189" w:rsidRPr="003A1809">
        <w:rPr>
          <w:rFonts w:ascii="Arial" w:hAnsi="Arial" w:cs="Arial"/>
        </w:rPr>
        <w:t xml:space="preserve">Planes Operativo </w:t>
      </w:r>
      <w:r w:rsidR="005C74A0" w:rsidRPr="003A1809">
        <w:rPr>
          <w:rFonts w:ascii="Arial" w:hAnsi="Arial" w:cs="Arial"/>
        </w:rPr>
        <w:t>Institucional (</w:t>
      </w:r>
      <w:r w:rsidR="00600189" w:rsidRPr="003A1809">
        <w:rPr>
          <w:rFonts w:ascii="Arial" w:hAnsi="Arial" w:cs="Arial"/>
        </w:rPr>
        <w:t>POI)</w:t>
      </w:r>
      <w:r w:rsidR="002D146C" w:rsidRPr="003A1809">
        <w:rPr>
          <w:rFonts w:ascii="Arial" w:hAnsi="Arial" w:cs="Arial"/>
        </w:rPr>
        <w:t>, información de incapacidades y jubilaciones.</w:t>
      </w:r>
      <w:r w:rsidR="00575359" w:rsidRPr="003A1809">
        <w:rPr>
          <w:rFonts w:ascii="Arial" w:hAnsi="Arial" w:cs="Arial"/>
        </w:rPr>
        <w:t xml:space="preserve"> </w:t>
      </w:r>
    </w:p>
    <w:p w14:paraId="42AE040E" w14:textId="77777777" w:rsidR="00276340" w:rsidRDefault="00276340">
      <w:pPr>
        <w:contextualSpacing/>
        <w:jc w:val="both"/>
        <w:rPr>
          <w:rFonts w:ascii="Arial" w:hAnsi="Arial" w:cs="Arial"/>
        </w:rPr>
      </w:pPr>
    </w:p>
    <w:p w14:paraId="79B765E4" w14:textId="1A7FD4AD" w:rsidR="000F0D7A" w:rsidRPr="00E50E1D" w:rsidRDefault="00C41DCF">
      <w:pPr>
        <w:contextualSpacing/>
        <w:jc w:val="both"/>
        <w:rPr>
          <w:rFonts w:ascii="Arial" w:hAnsi="Arial" w:cs="Arial"/>
          <w:b/>
          <w:color w:val="44546A" w:themeColor="text2"/>
        </w:rPr>
      </w:pPr>
      <w:r>
        <w:rPr>
          <w:rFonts w:ascii="Arial" w:hAnsi="Arial" w:cs="Arial"/>
        </w:rPr>
        <w:t xml:space="preserve">Lo anterior </w:t>
      </w:r>
      <w:r w:rsidR="00516DC8">
        <w:rPr>
          <w:rFonts w:ascii="Arial" w:hAnsi="Arial" w:cs="Arial"/>
        </w:rPr>
        <w:t xml:space="preserve">obedece a </w:t>
      </w:r>
      <w:r w:rsidR="00684407">
        <w:rPr>
          <w:rFonts w:ascii="Arial" w:hAnsi="Arial" w:cs="Arial"/>
        </w:rPr>
        <w:t>que,</w:t>
      </w:r>
      <w:r w:rsidR="00516DC8">
        <w:rPr>
          <w:rFonts w:ascii="Arial" w:hAnsi="Arial" w:cs="Arial"/>
        </w:rPr>
        <w:t xml:space="preserve"> </w:t>
      </w:r>
      <w:r w:rsidR="00C13D8B">
        <w:rPr>
          <w:rFonts w:ascii="Arial" w:hAnsi="Arial" w:cs="Arial"/>
        </w:rPr>
        <w:t>e</w:t>
      </w:r>
      <w:r w:rsidR="000F0D7A" w:rsidRPr="000F0D7A">
        <w:rPr>
          <w:rFonts w:ascii="Arial" w:hAnsi="Arial" w:cs="Arial"/>
        </w:rPr>
        <w:t xml:space="preserve">l Ministerio de Hacienda carece de </w:t>
      </w:r>
      <w:r w:rsidR="00E50E1D">
        <w:rPr>
          <w:rFonts w:ascii="Arial" w:hAnsi="Arial" w:cs="Arial"/>
        </w:rPr>
        <w:t xml:space="preserve">un </w:t>
      </w:r>
      <w:r w:rsidR="000F0D7A" w:rsidRPr="000F0D7A">
        <w:rPr>
          <w:rFonts w:ascii="Arial" w:hAnsi="Arial" w:cs="Arial"/>
        </w:rPr>
        <w:t>equipo multidisciplinario que establezca la información prioritaria y actualizada que debe publicarse en la página web de la institución</w:t>
      </w:r>
      <w:r w:rsidR="001B50AF">
        <w:rPr>
          <w:rFonts w:ascii="Arial" w:hAnsi="Arial" w:cs="Arial"/>
        </w:rPr>
        <w:t>.</w:t>
      </w:r>
      <w:r w:rsidR="006650F2">
        <w:rPr>
          <w:rFonts w:ascii="Arial" w:hAnsi="Arial" w:cs="Arial"/>
        </w:rPr>
        <w:t xml:space="preserve"> </w:t>
      </w:r>
      <w:r w:rsidR="006650F2" w:rsidRPr="00E50E1D">
        <w:rPr>
          <w:rFonts w:ascii="Arial" w:hAnsi="Arial" w:cs="Arial"/>
          <w:b/>
          <w:color w:val="44546A" w:themeColor="text2"/>
        </w:rPr>
        <w:t xml:space="preserve">(ver Anexo </w:t>
      </w:r>
      <w:r w:rsidR="00F7175C" w:rsidRPr="00E50E1D">
        <w:rPr>
          <w:rFonts w:ascii="Arial" w:hAnsi="Arial" w:cs="Arial"/>
          <w:b/>
          <w:color w:val="44546A" w:themeColor="text2"/>
        </w:rPr>
        <w:t>2</w:t>
      </w:r>
      <w:r w:rsidR="006650F2" w:rsidRPr="00E50E1D">
        <w:rPr>
          <w:rFonts w:ascii="Arial" w:hAnsi="Arial" w:cs="Arial"/>
          <w:b/>
          <w:color w:val="44546A" w:themeColor="text2"/>
        </w:rPr>
        <w:t>)</w:t>
      </w:r>
    </w:p>
    <w:p w14:paraId="0BCCE2B4" w14:textId="77777777" w:rsidR="000F0D7A" w:rsidRDefault="000F0D7A">
      <w:pPr>
        <w:contextualSpacing/>
        <w:jc w:val="both"/>
        <w:rPr>
          <w:rFonts w:ascii="Arial" w:hAnsi="Arial" w:cs="Arial"/>
        </w:rPr>
      </w:pPr>
    </w:p>
    <w:p w14:paraId="4E21C511" w14:textId="723CC155" w:rsidR="004644EB" w:rsidRDefault="00C41DCF">
      <w:pPr>
        <w:contextualSpacing/>
        <w:jc w:val="both"/>
        <w:rPr>
          <w:rFonts w:ascii="Arial" w:hAnsi="Arial" w:cs="Arial"/>
        </w:rPr>
      </w:pPr>
      <w:r>
        <w:rPr>
          <w:rFonts w:ascii="Arial" w:hAnsi="Arial" w:cs="Arial"/>
        </w:rPr>
        <w:t>La situación descrita</w:t>
      </w:r>
      <w:r w:rsidR="0030748B">
        <w:rPr>
          <w:rFonts w:ascii="Arial" w:hAnsi="Arial" w:cs="Arial"/>
        </w:rPr>
        <w:t>,</w:t>
      </w:r>
      <w:r w:rsidR="000F0D7A">
        <w:rPr>
          <w:rFonts w:ascii="Arial" w:hAnsi="Arial" w:cs="Arial"/>
        </w:rPr>
        <w:t xml:space="preserve"> </w:t>
      </w:r>
      <w:r w:rsidR="00276340">
        <w:rPr>
          <w:rFonts w:ascii="Arial" w:hAnsi="Arial" w:cs="Arial"/>
        </w:rPr>
        <w:t xml:space="preserve">genera el riesgo que exista una limitante </w:t>
      </w:r>
      <w:r w:rsidR="000F0D7A">
        <w:rPr>
          <w:rFonts w:ascii="Arial" w:hAnsi="Arial" w:cs="Arial"/>
        </w:rPr>
        <w:t>contra el</w:t>
      </w:r>
      <w:r w:rsidR="00B17EB3">
        <w:rPr>
          <w:rFonts w:ascii="Arial" w:hAnsi="Arial" w:cs="Arial"/>
        </w:rPr>
        <w:t xml:space="preserve"> </w:t>
      </w:r>
      <w:r w:rsidR="000F0D7A" w:rsidRPr="000F0D7A">
        <w:rPr>
          <w:rFonts w:ascii="Arial" w:hAnsi="Arial" w:cs="Arial"/>
        </w:rPr>
        <w:t>derecho de acceso a la información pública de los ciudadanos</w:t>
      </w:r>
      <w:r w:rsidR="00BF3B75">
        <w:rPr>
          <w:rFonts w:ascii="Arial" w:hAnsi="Arial" w:cs="Arial"/>
        </w:rPr>
        <w:t xml:space="preserve">, exponiendo al Ministerio a procesos administrativos y judiciales. </w:t>
      </w:r>
      <w:r w:rsidR="00991E8D">
        <w:rPr>
          <w:rFonts w:ascii="Arial" w:hAnsi="Arial" w:cs="Arial"/>
        </w:rPr>
        <w:t>Además,</w:t>
      </w:r>
      <w:r w:rsidR="00BF3B75">
        <w:rPr>
          <w:rFonts w:ascii="Arial" w:hAnsi="Arial" w:cs="Arial"/>
        </w:rPr>
        <w:t xml:space="preserve"> </w:t>
      </w:r>
      <w:r w:rsidR="006C5B0E">
        <w:rPr>
          <w:rFonts w:ascii="Arial" w:hAnsi="Arial" w:cs="Arial"/>
        </w:rPr>
        <w:t>afecta la imagen</w:t>
      </w:r>
      <w:r w:rsidR="00E50E1D">
        <w:rPr>
          <w:rFonts w:ascii="Arial" w:hAnsi="Arial" w:cs="Arial"/>
        </w:rPr>
        <w:t>, reputación</w:t>
      </w:r>
      <w:r w:rsidR="006C5B0E">
        <w:rPr>
          <w:rFonts w:ascii="Arial" w:hAnsi="Arial" w:cs="Arial"/>
        </w:rPr>
        <w:t xml:space="preserve"> y transparencia de la gestión pública, </w:t>
      </w:r>
      <w:r w:rsidR="00BF3B75">
        <w:rPr>
          <w:rFonts w:ascii="Arial" w:hAnsi="Arial" w:cs="Arial"/>
        </w:rPr>
        <w:t xml:space="preserve">impactando la democracia </w:t>
      </w:r>
      <w:r w:rsidR="00BF3B75" w:rsidRPr="00BF3B75">
        <w:rPr>
          <w:rFonts w:ascii="Arial" w:hAnsi="Arial" w:cs="Arial"/>
        </w:rPr>
        <w:t xml:space="preserve">política </w:t>
      </w:r>
      <w:r w:rsidR="006C5B0E">
        <w:rPr>
          <w:rFonts w:ascii="Arial" w:hAnsi="Arial" w:cs="Arial"/>
        </w:rPr>
        <w:t xml:space="preserve">dado que limita </w:t>
      </w:r>
      <w:r w:rsidR="00BF3B75" w:rsidRPr="00BF3B75">
        <w:rPr>
          <w:rFonts w:ascii="Arial" w:hAnsi="Arial" w:cs="Arial"/>
        </w:rPr>
        <w:t xml:space="preserve">la fiscalización de la Administración Pública y de los recursos públicos por </w:t>
      </w:r>
      <w:r w:rsidR="006C5B0E">
        <w:rPr>
          <w:rFonts w:ascii="Arial" w:hAnsi="Arial" w:cs="Arial"/>
        </w:rPr>
        <w:t>parte de los</w:t>
      </w:r>
      <w:r w:rsidR="00BF3B75" w:rsidRPr="00BF3B75">
        <w:rPr>
          <w:rFonts w:ascii="Arial" w:hAnsi="Arial" w:cs="Arial"/>
        </w:rPr>
        <w:t xml:space="preserve"> </w:t>
      </w:r>
      <w:r w:rsidR="006C5B0E">
        <w:rPr>
          <w:rFonts w:ascii="Arial" w:hAnsi="Arial" w:cs="Arial"/>
        </w:rPr>
        <w:t xml:space="preserve">usuarios, </w:t>
      </w:r>
      <w:r w:rsidR="00991E8D">
        <w:rPr>
          <w:rFonts w:ascii="Arial" w:hAnsi="Arial" w:cs="Arial"/>
        </w:rPr>
        <w:t>dado</w:t>
      </w:r>
      <w:r w:rsidR="000F0D7A">
        <w:rPr>
          <w:rFonts w:ascii="Arial" w:hAnsi="Arial" w:cs="Arial"/>
        </w:rPr>
        <w:t xml:space="preserve"> que l</w:t>
      </w:r>
      <w:r w:rsidR="000F0D7A" w:rsidRPr="000F0D7A">
        <w:rPr>
          <w:rFonts w:ascii="Arial" w:hAnsi="Arial" w:cs="Arial"/>
        </w:rPr>
        <w:t xml:space="preserve">a información </w:t>
      </w:r>
      <w:r w:rsidR="000F0D7A">
        <w:rPr>
          <w:rFonts w:ascii="Arial" w:hAnsi="Arial" w:cs="Arial"/>
        </w:rPr>
        <w:t xml:space="preserve">no se encuentra </w:t>
      </w:r>
      <w:r w:rsidR="000F0D7A" w:rsidRPr="000F0D7A">
        <w:rPr>
          <w:rFonts w:ascii="Arial" w:hAnsi="Arial" w:cs="Arial"/>
        </w:rPr>
        <w:t>completa</w:t>
      </w:r>
      <w:r w:rsidR="00F80EE8">
        <w:rPr>
          <w:rFonts w:ascii="Arial" w:hAnsi="Arial" w:cs="Arial"/>
        </w:rPr>
        <w:t xml:space="preserve"> ni </w:t>
      </w:r>
      <w:r w:rsidR="000F0D7A" w:rsidRPr="000F0D7A">
        <w:rPr>
          <w:rFonts w:ascii="Arial" w:hAnsi="Arial" w:cs="Arial"/>
        </w:rPr>
        <w:t>actualizada</w:t>
      </w:r>
      <w:r w:rsidR="000F0D7A">
        <w:rPr>
          <w:rFonts w:ascii="Arial" w:hAnsi="Arial" w:cs="Arial"/>
        </w:rPr>
        <w:t>.</w:t>
      </w:r>
    </w:p>
    <w:p w14:paraId="0092076E" w14:textId="77777777" w:rsidR="00BF3B75" w:rsidRDefault="00BF3B75">
      <w:pPr>
        <w:contextualSpacing/>
        <w:jc w:val="both"/>
        <w:rPr>
          <w:rFonts w:ascii="Arial" w:hAnsi="Arial" w:cs="Arial"/>
        </w:rPr>
      </w:pPr>
    </w:p>
    <w:p w14:paraId="7D33A9CD" w14:textId="4229E315" w:rsidR="00505875" w:rsidRPr="00505875" w:rsidRDefault="00590CCE" w:rsidP="00552D74">
      <w:pPr>
        <w:pStyle w:val="Ttulo1"/>
        <w:keepNext w:val="0"/>
        <w:keepLines w:val="0"/>
        <w:numPr>
          <w:ilvl w:val="2"/>
          <w:numId w:val="19"/>
        </w:numPr>
        <w:spacing w:before="0" w:after="0"/>
        <w:ind w:left="0" w:right="51" w:firstLine="0"/>
        <w:contextualSpacing/>
        <w:jc w:val="both"/>
        <w:rPr>
          <w:rFonts w:ascii="Arial" w:eastAsiaTheme="minorHAnsi" w:hAnsi="Arial" w:cs="Arial"/>
          <w:b/>
          <w:color w:val="44546A" w:themeColor="text2"/>
          <w:sz w:val="24"/>
          <w:szCs w:val="24"/>
          <w:lang w:val="es-ES_tradnl" w:eastAsia="es-ES"/>
        </w:rPr>
      </w:pPr>
      <w:bookmarkStart w:id="79" w:name="_Toc104793357"/>
      <w:bookmarkStart w:id="80" w:name="_Toc390783338"/>
      <w:bookmarkEnd w:id="74"/>
      <w:r>
        <w:rPr>
          <w:rFonts w:ascii="Arial" w:hAnsi="Arial" w:cs="Arial"/>
          <w:b/>
          <w:color w:val="44546A" w:themeColor="text2"/>
          <w:sz w:val="24"/>
          <w:szCs w:val="24"/>
          <w:lang w:val="es-ES_tradnl" w:eastAsia="es-ES"/>
        </w:rPr>
        <w:t>Ausencia de pro</w:t>
      </w:r>
      <w:r w:rsidR="00FB3FEA">
        <w:rPr>
          <w:rFonts w:ascii="Arial" w:hAnsi="Arial" w:cs="Arial"/>
          <w:b/>
          <w:color w:val="44546A" w:themeColor="text2"/>
          <w:sz w:val="24"/>
          <w:szCs w:val="24"/>
          <w:lang w:val="es-ES_tradnl" w:eastAsia="es-ES"/>
        </w:rPr>
        <w:t>cesos</w:t>
      </w:r>
      <w:r>
        <w:rPr>
          <w:rFonts w:ascii="Arial" w:hAnsi="Arial" w:cs="Arial"/>
          <w:b/>
          <w:color w:val="44546A" w:themeColor="text2"/>
          <w:sz w:val="24"/>
          <w:szCs w:val="24"/>
          <w:lang w:val="es-ES_tradnl" w:eastAsia="es-ES"/>
        </w:rPr>
        <w:t xml:space="preserve"> de coordinación</w:t>
      </w:r>
      <w:r w:rsidR="00B53249">
        <w:rPr>
          <w:rFonts w:ascii="Arial" w:hAnsi="Arial" w:cs="Arial"/>
          <w:b/>
          <w:color w:val="44546A" w:themeColor="text2"/>
          <w:sz w:val="24"/>
          <w:szCs w:val="24"/>
          <w:lang w:val="es-ES_tradnl" w:eastAsia="es-ES"/>
        </w:rPr>
        <w:t xml:space="preserve">, </w:t>
      </w:r>
      <w:r>
        <w:rPr>
          <w:rFonts w:ascii="Arial" w:hAnsi="Arial" w:cs="Arial"/>
          <w:b/>
          <w:color w:val="44546A" w:themeColor="text2"/>
          <w:sz w:val="24"/>
          <w:szCs w:val="24"/>
          <w:lang w:val="es-ES_tradnl" w:eastAsia="es-ES"/>
        </w:rPr>
        <w:t>comunicación</w:t>
      </w:r>
      <w:r w:rsidR="00B53249">
        <w:rPr>
          <w:rFonts w:ascii="Arial" w:hAnsi="Arial" w:cs="Arial"/>
          <w:b/>
          <w:color w:val="44546A" w:themeColor="text2"/>
          <w:sz w:val="24"/>
          <w:szCs w:val="24"/>
          <w:lang w:val="es-ES_tradnl" w:eastAsia="es-ES"/>
        </w:rPr>
        <w:t xml:space="preserve"> y g</w:t>
      </w:r>
      <w:r w:rsidR="00083248">
        <w:rPr>
          <w:rFonts w:ascii="Arial" w:hAnsi="Arial" w:cs="Arial"/>
          <w:b/>
          <w:color w:val="44546A" w:themeColor="text2"/>
          <w:sz w:val="24"/>
          <w:szCs w:val="24"/>
          <w:lang w:val="es-ES_tradnl" w:eastAsia="es-ES"/>
        </w:rPr>
        <w:t>obernanza en la publicación de datos públicos</w:t>
      </w:r>
      <w:bookmarkEnd w:id="79"/>
      <w:r w:rsidR="00B53249">
        <w:rPr>
          <w:rFonts w:ascii="Arial" w:hAnsi="Arial" w:cs="Arial"/>
          <w:b/>
          <w:color w:val="44546A" w:themeColor="text2"/>
          <w:sz w:val="24"/>
          <w:szCs w:val="24"/>
          <w:lang w:val="es-ES_tradnl" w:eastAsia="es-ES"/>
        </w:rPr>
        <w:t xml:space="preserve">  </w:t>
      </w:r>
    </w:p>
    <w:p w14:paraId="42060912" w14:textId="77777777" w:rsidR="00505875" w:rsidRDefault="00505875">
      <w:pPr>
        <w:contextualSpacing/>
        <w:jc w:val="both"/>
        <w:rPr>
          <w:rFonts w:ascii="Arial" w:hAnsi="Arial" w:cs="Arial"/>
        </w:rPr>
      </w:pPr>
    </w:p>
    <w:p w14:paraId="7C96D69F" w14:textId="77777777" w:rsidR="00D701B3" w:rsidRDefault="00D701B3">
      <w:pPr>
        <w:contextualSpacing/>
        <w:jc w:val="both"/>
        <w:rPr>
          <w:rFonts w:ascii="Arial" w:hAnsi="Arial" w:cs="Arial"/>
        </w:rPr>
      </w:pPr>
      <w:r>
        <w:rPr>
          <w:rFonts w:ascii="Arial" w:hAnsi="Arial" w:cs="Arial"/>
        </w:rPr>
        <w:t>Las</w:t>
      </w:r>
      <w:r w:rsidR="002D4E75">
        <w:rPr>
          <w:rFonts w:ascii="Arial" w:hAnsi="Arial" w:cs="Arial"/>
        </w:rPr>
        <w:t xml:space="preserve"> </w:t>
      </w:r>
      <w:r w:rsidRPr="00D701B3">
        <w:rPr>
          <w:rFonts w:ascii="Arial" w:hAnsi="Arial" w:cs="Arial"/>
        </w:rPr>
        <w:t>Normas de Control Interno del Sector Público</w:t>
      </w:r>
      <w:r>
        <w:rPr>
          <w:rFonts w:ascii="Arial" w:hAnsi="Arial" w:cs="Arial"/>
        </w:rPr>
        <w:t xml:space="preserve"> </w:t>
      </w:r>
      <w:r w:rsidR="008718F3" w:rsidRPr="00CE39F6">
        <w:rPr>
          <w:rFonts w:ascii="Arial" w:hAnsi="Arial" w:cs="Arial"/>
        </w:rPr>
        <w:t xml:space="preserve">(N-2-2009-CO-DFOE) </w:t>
      </w:r>
      <w:r>
        <w:rPr>
          <w:rFonts w:ascii="Arial" w:hAnsi="Arial" w:cs="Arial"/>
        </w:rPr>
        <w:t>indican</w:t>
      </w:r>
      <w:r w:rsidR="008718F3">
        <w:rPr>
          <w:rFonts w:ascii="Arial" w:hAnsi="Arial" w:cs="Arial"/>
        </w:rPr>
        <w:t xml:space="preserve"> que las actividades de control deben documentarse mediante su incorporación en los manuales de procedimientos, en las descripciones de puestos y procesos</w:t>
      </w:r>
      <w:r>
        <w:rPr>
          <w:rFonts w:ascii="Arial" w:hAnsi="Arial" w:cs="Arial"/>
        </w:rPr>
        <w:t>:</w:t>
      </w:r>
    </w:p>
    <w:p w14:paraId="41B47EDC" w14:textId="77777777" w:rsidR="00D701B3" w:rsidRPr="00D701B3" w:rsidRDefault="00D701B3">
      <w:pPr>
        <w:contextualSpacing/>
        <w:jc w:val="both"/>
        <w:rPr>
          <w:rFonts w:ascii="Arial" w:hAnsi="Arial" w:cs="Arial"/>
        </w:rPr>
      </w:pPr>
    </w:p>
    <w:p w14:paraId="44738361" w14:textId="77777777" w:rsidR="002D4E75" w:rsidRPr="008718F3" w:rsidRDefault="00C13D8B" w:rsidP="006F3506">
      <w:pPr>
        <w:ind w:left="708" w:right="567"/>
        <w:contextualSpacing/>
        <w:jc w:val="both"/>
        <w:rPr>
          <w:rFonts w:ascii="Arial" w:hAnsi="Arial" w:cs="Arial"/>
          <w:i/>
        </w:rPr>
      </w:pPr>
      <w:r>
        <w:rPr>
          <w:rFonts w:ascii="Arial" w:hAnsi="Arial" w:cs="Arial"/>
          <w:i/>
        </w:rPr>
        <w:t>“</w:t>
      </w:r>
      <w:r w:rsidR="00D701B3" w:rsidRPr="008718F3">
        <w:rPr>
          <w:rFonts w:ascii="Arial" w:hAnsi="Arial" w:cs="Arial"/>
          <w:i/>
        </w:rPr>
        <w:t>4.2 Requisitos de las actividades de control…e. Documentación. Las actividades de control deben</w:t>
      </w:r>
      <w:r w:rsidR="002B1173">
        <w:rPr>
          <w:rFonts w:ascii="Arial" w:hAnsi="Arial" w:cs="Arial"/>
          <w:i/>
        </w:rPr>
        <w:t xml:space="preserve"> </w:t>
      </w:r>
      <w:r w:rsidR="00D701B3" w:rsidRPr="008718F3">
        <w:rPr>
          <w:rFonts w:ascii="Arial" w:hAnsi="Arial" w:cs="Arial"/>
          <w:i/>
        </w:rPr>
        <w:t xml:space="preserve">documentarse mediante su incorporación en los manuales de procedimientos, en las descripciones de puestos y procesos, o en documentos de naturaleza similar. Esa documentación debe estar disponible, en forma ordenada conforme a criterios previamente establecidos, para su uso, consulta y evaluación”. </w:t>
      </w:r>
    </w:p>
    <w:p w14:paraId="1E8408B1" w14:textId="77777777" w:rsidR="00B17EB3" w:rsidRDefault="00B17EB3" w:rsidP="00C13D8B">
      <w:pPr>
        <w:contextualSpacing/>
        <w:jc w:val="both"/>
        <w:rPr>
          <w:rFonts w:ascii="Arial" w:hAnsi="Arial" w:cs="Arial"/>
        </w:rPr>
      </w:pPr>
    </w:p>
    <w:p w14:paraId="4A4E29B8" w14:textId="77777777" w:rsidR="008718F3" w:rsidRDefault="00F80EE8" w:rsidP="00F524F9">
      <w:pPr>
        <w:contextualSpacing/>
        <w:jc w:val="both"/>
        <w:rPr>
          <w:rFonts w:ascii="Arial" w:hAnsi="Arial" w:cs="Arial"/>
        </w:rPr>
      </w:pPr>
      <w:r>
        <w:rPr>
          <w:rFonts w:ascii="Arial" w:hAnsi="Arial" w:cs="Arial"/>
        </w:rPr>
        <w:t xml:space="preserve">Al respecto, </w:t>
      </w:r>
      <w:bookmarkStart w:id="81" w:name="_Hlk104208620"/>
      <w:r>
        <w:rPr>
          <w:rFonts w:ascii="Arial" w:hAnsi="Arial" w:cs="Arial"/>
        </w:rPr>
        <w:t>e</w:t>
      </w:r>
      <w:r w:rsidR="008718F3" w:rsidRPr="008718F3">
        <w:rPr>
          <w:rFonts w:ascii="Arial" w:hAnsi="Arial" w:cs="Arial"/>
        </w:rPr>
        <w:t xml:space="preserve">l Ministerio de Hacienda no cuenta </w:t>
      </w:r>
      <w:bookmarkStart w:id="82" w:name="_Hlk104208655"/>
      <w:r w:rsidR="008718F3" w:rsidRPr="008718F3">
        <w:rPr>
          <w:rFonts w:ascii="Arial" w:hAnsi="Arial" w:cs="Arial"/>
        </w:rPr>
        <w:t xml:space="preserve">con un procedimiento formalizado </w:t>
      </w:r>
      <w:r w:rsidR="002B1173">
        <w:rPr>
          <w:rFonts w:ascii="Arial" w:hAnsi="Arial" w:cs="Arial"/>
        </w:rPr>
        <w:t xml:space="preserve">para </w:t>
      </w:r>
      <w:r w:rsidR="008718F3" w:rsidRPr="008718F3">
        <w:rPr>
          <w:rFonts w:ascii="Arial" w:hAnsi="Arial" w:cs="Arial"/>
        </w:rPr>
        <w:t xml:space="preserve">la coordinación con las dependencias que suministran y evalúan la publicación de datos </w:t>
      </w:r>
      <w:r>
        <w:rPr>
          <w:rFonts w:ascii="Arial" w:hAnsi="Arial" w:cs="Arial"/>
        </w:rPr>
        <w:t>p</w:t>
      </w:r>
      <w:r w:rsidR="008718F3" w:rsidRPr="008718F3">
        <w:rPr>
          <w:rFonts w:ascii="Arial" w:hAnsi="Arial" w:cs="Arial"/>
        </w:rPr>
        <w:t>úblicos</w:t>
      </w:r>
      <w:r>
        <w:rPr>
          <w:rFonts w:ascii="Arial" w:hAnsi="Arial" w:cs="Arial"/>
        </w:rPr>
        <w:t>.</w:t>
      </w:r>
      <w:bookmarkEnd w:id="82"/>
    </w:p>
    <w:bookmarkEnd w:id="81"/>
    <w:p w14:paraId="33A35342" w14:textId="77777777" w:rsidR="008718F3" w:rsidRDefault="008718F3" w:rsidP="00F524F9">
      <w:pPr>
        <w:contextualSpacing/>
        <w:jc w:val="both"/>
        <w:rPr>
          <w:rFonts w:ascii="Arial" w:hAnsi="Arial" w:cs="Arial"/>
        </w:rPr>
      </w:pPr>
    </w:p>
    <w:p w14:paraId="7E1EE4CF" w14:textId="5BF97B69" w:rsidR="00171288" w:rsidRDefault="00B17EB3" w:rsidP="00171288">
      <w:pPr>
        <w:contextualSpacing/>
        <w:jc w:val="both"/>
        <w:rPr>
          <w:rFonts w:ascii="Arial" w:hAnsi="Arial" w:cs="Arial"/>
        </w:rPr>
      </w:pPr>
      <w:r w:rsidRPr="00B17EB3">
        <w:rPr>
          <w:rFonts w:ascii="Arial" w:hAnsi="Arial" w:cs="Arial"/>
        </w:rPr>
        <w:t>Lo antes citado</w:t>
      </w:r>
      <w:r w:rsidR="00A8323F">
        <w:rPr>
          <w:rFonts w:ascii="Arial" w:hAnsi="Arial" w:cs="Arial"/>
        </w:rPr>
        <w:t>,</w:t>
      </w:r>
      <w:r w:rsidRPr="00B17EB3">
        <w:rPr>
          <w:rFonts w:ascii="Arial" w:hAnsi="Arial" w:cs="Arial"/>
        </w:rPr>
        <w:t xml:space="preserve"> </w:t>
      </w:r>
      <w:r>
        <w:rPr>
          <w:rFonts w:ascii="Arial" w:hAnsi="Arial" w:cs="Arial"/>
        </w:rPr>
        <w:t xml:space="preserve">se debe a que </w:t>
      </w:r>
      <w:r w:rsidR="008718F3">
        <w:rPr>
          <w:rFonts w:ascii="Arial" w:hAnsi="Arial" w:cs="Arial"/>
        </w:rPr>
        <w:t>n</w:t>
      </w:r>
      <w:r w:rsidR="008718F3" w:rsidRPr="006C2630">
        <w:rPr>
          <w:rFonts w:ascii="Arial" w:hAnsi="Arial" w:cs="Arial"/>
        </w:rPr>
        <w:t xml:space="preserve">o </w:t>
      </w:r>
      <w:r w:rsidR="00171288">
        <w:rPr>
          <w:rFonts w:ascii="Arial" w:hAnsi="Arial" w:cs="Arial"/>
        </w:rPr>
        <w:t>existe un marco de gobernanza del proceso de publicación de datos públicos, donde se establezcan sus principios, políticas y procedimientos por los cuales es dirigido y controlado</w:t>
      </w:r>
      <w:r w:rsidR="00171288" w:rsidRPr="006C2630">
        <w:rPr>
          <w:rFonts w:ascii="Arial" w:hAnsi="Arial" w:cs="Arial"/>
        </w:rPr>
        <w:t>.</w:t>
      </w:r>
    </w:p>
    <w:p w14:paraId="1BBDD588" w14:textId="7670A559" w:rsidR="00B17EB3" w:rsidRDefault="00B17EB3">
      <w:pPr>
        <w:contextualSpacing/>
        <w:jc w:val="both"/>
        <w:rPr>
          <w:rFonts w:ascii="Arial" w:hAnsi="Arial" w:cs="Arial"/>
        </w:rPr>
      </w:pPr>
    </w:p>
    <w:p w14:paraId="5CB591FB" w14:textId="77777777" w:rsidR="00D47A53" w:rsidRDefault="00D47A53">
      <w:pPr>
        <w:contextualSpacing/>
        <w:jc w:val="both"/>
        <w:rPr>
          <w:rFonts w:ascii="Arial" w:hAnsi="Arial" w:cs="Arial"/>
        </w:rPr>
      </w:pPr>
    </w:p>
    <w:p w14:paraId="3CAE2047" w14:textId="418EC48D" w:rsidR="004644EB" w:rsidRDefault="00B17EB3">
      <w:pPr>
        <w:contextualSpacing/>
        <w:jc w:val="both"/>
        <w:rPr>
          <w:rFonts w:ascii="Arial" w:hAnsi="Arial" w:cs="Arial"/>
        </w:rPr>
      </w:pPr>
      <w:r w:rsidRPr="00B17EB3">
        <w:rPr>
          <w:rFonts w:ascii="Arial" w:hAnsi="Arial" w:cs="Arial"/>
        </w:rPr>
        <w:t>Lo señalado anteriormente</w:t>
      </w:r>
      <w:r>
        <w:rPr>
          <w:rFonts w:ascii="Arial" w:hAnsi="Arial" w:cs="Arial"/>
        </w:rPr>
        <w:t>,</w:t>
      </w:r>
      <w:r w:rsidRPr="00B17EB3">
        <w:rPr>
          <w:rFonts w:ascii="Arial" w:hAnsi="Arial" w:cs="Arial"/>
        </w:rPr>
        <w:t xml:space="preserve"> </w:t>
      </w:r>
      <w:r w:rsidR="00590CCE">
        <w:rPr>
          <w:rFonts w:ascii="Arial" w:hAnsi="Arial" w:cs="Arial"/>
        </w:rPr>
        <w:t xml:space="preserve">afecta la gobernanza del proceso de </w:t>
      </w:r>
      <w:r w:rsidR="008718F3" w:rsidRPr="006C2630">
        <w:rPr>
          <w:rFonts w:ascii="Arial" w:hAnsi="Arial" w:cs="Arial"/>
        </w:rPr>
        <w:t>apertura de datos públicos</w:t>
      </w:r>
      <w:r w:rsidR="00590CCE">
        <w:rPr>
          <w:rFonts w:ascii="Arial" w:hAnsi="Arial" w:cs="Arial"/>
        </w:rPr>
        <w:t>, de forma tal</w:t>
      </w:r>
      <w:r w:rsidR="008718F3" w:rsidRPr="006C2630">
        <w:rPr>
          <w:rFonts w:ascii="Arial" w:hAnsi="Arial" w:cs="Arial"/>
        </w:rPr>
        <w:t xml:space="preserve"> </w:t>
      </w:r>
      <w:r w:rsidR="00590CCE">
        <w:rPr>
          <w:rFonts w:ascii="Arial" w:hAnsi="Arial" w:cs="Arial"/>
        </w:rPr>
        <w:t>que permitan la rendición de cuentas, según como establece el bloque de legalidad.</w:t>
      </w:r>
    </w:p>
    <w:p w14:paraId="7F191250" w14:textId="77777777" w:rsidR="006C5B0E" w:rsidRDefault="006C5B0E">
      <w:pPr>
        <w:contextualSpacing/>
        <w:jc w:val="both"/>
        <w:rPr>
          <w:rFonts w:ascii="Arial" w:hAnsi="Arial" w:cs="Arial"/>
        </w:rPr>
      </w:pPr>
    </w:p>
    <w:p w14:paraId="7FE0950C" w14:textId="69933015" w:rsidR="00505875" w:rsidRPr="0029600F" w:rsidRDefault="00FB3FEA" w:rsidP="00552D74">
      <w:pPr>
        <w:pStyle w:val="Ttulo1"/>
        <w:keepNext w:val="0"/>
        <w:keepLines w:val="0"/>
        <w:numPr>
          <w:ilvl w:val="2"/>
          <w:numId w:val="19"/>
        </w:numPr>
        <w:spacing w:before="0" w:after="0"/>
        <w:ind w:left="0" w:right="51" w:firstLine="0"/>
        <w:contextualSpacing/>
        <w:jc w:val="both"/>
        <w:rPr>
          <w:rFonts w:ascii="Arial" w:hAnsi="Arial" w:cs="Arial"/>
          <w:b/>
          <w:bCs/>
          <w:color w:val="44546A"/>
          <w:kern w:val="28"/>
          <w:sz w:val="24"/>
          <w:szCs w:val="24"/>
          <w:lang w:eastAsia="es-ES"/>
        </w:rPr>
      </w:pPr>
      <w:bookmarkStart w:id="83" w:name="_Toc104793358"/>
      <w:bookmarkStart w:id="84" w:name="_Hlk88646292"/>
      <w:r>
        <w:rPr>
          <w:rFonts w:ascii="Arial" w:hAnsi="Arial" w:cs="Arial"/>
          <w:b/>
          <w:bCs/>
          <w:color w:val="44546A"/>
          <w:kern w:val="28"/>
          <w:sz w:val="24"/>
          <w:szCs w:val="24"/>
          <w:lang w:eastAsia="es-ES"/>
        </w:rPr>
        <w:t>C</w:t>
      </w:r>
      <w:r w:rsidR="00505875" w:rsidRPr="0029600F">
        <w:rPr>
          <w:rFonts w:ascii="Arial" w:hAnsi="Arial" w:cs="Arial"/>
          <w:b/>
          <w:bCs/>
          <w:color w:val="44546A"/>
          <w:kern w:val="28"/>
          <w:sz w:val="24"/>
          <w:szCs w:val="24"/>
          <w:lang w:eastAsia="es-ES"/>
        </w:rPr>
        <w:t>riterios de valor, privacidad y confidencialidad para la publicación de datos abiertos</w:t>
      </w:r>
      <w:bookmarkEnd w:id="83"/>
    </w:p>
    <w:p w14:paraId="65C2F5A7" w14:textId="77777777" w:rsidR="00505875" w:rsidRDefault="00505875">
      <w:pPr>
        <w:contextualSpacing/>
        <w:jc w:val="both"/>
        <w:rPr>
          <w:rFonts w:ascii="Arial" w:hAnsi="Arial" w:cs="Arial"/>
        </w:rPr>
      </w:pPr>
    </w:p>
    <w:p w14:paraId="0356F119" w14:textId="77777777" w:rsidR="001F3C91" w:rsidRDefault="008718F3">
      <w:pPr>
        <w:contextualSpacing/>
        <w:jc w:val="both"/>
        <w:rPr>
          <w:rFonts w:ascii="Arial" w:hAnsi="Arial" w:cs="Arial"/>
        </w:rPr>
      </w:pPr>
      <w:r>
        <w:rPr>
          <w:rFonts w:ascii="Arial" w:hAnsi="Arial" w:cs="Arial"/>
        </w:rPr>
        <w:t xml:space="preserve">La </w:t>
      </w:r>
      <w:r w:rsidRPr="008718F3">
        <w:rPr>
          <w:rFonts w:ascii="Arial" w:hAnsi="Arial" w:cs="Arial"/>
        </w:rPr>
        <w:t>Guía Nacional para la publicación de Datos Abiertos</w:t>
      </w:r>
      <w:r>
        <w:rPr>
          <w:rFonts w:ascii="Arial" w:hAnsi="Arial" w:cs="Arial"/>
        </w:rPr>
        <w:t>,</w:t>
      </w:r>
      <w:r w:rsidR="005F0403">
        <w:rPr>
          <w:rFonts w:ascii="Arial" w:hAnsi="Arial" w:cs="Arial"/>
        </w:rPr>
        <w:t xml:space="preserve"> específicamente en la etapa de priorización de datos para la apertura,</w:t>
      </w:r>
      <w:r>
        <w:rPr>
          <w:rFonts w:ascii="Arial" w:hAnsi="Arial" w:cs="Arial"/>
        </w:rPr>
        <w:t xml:space="preserve"> señala </w:t>
      </w:r>
      <w:r w:rsidR="001B50AF">
        <w:rPr>
          <w:rFonts w:ascii="Arial" w:hAnsi="Arial" w:cs="Arial"/>
        </w:rPr>
        <w:t>criterios que</w:t>
      </w:r>
      <w:r>
        <w:rPr>
          <w:rFonts w:ascii="Arial" w:hAnsi="Arial" w:cs="Arial"/>
        </w:rPr>
        <w:t xml:space="preserve"> deben tomarse en cuenta para realizar la publicación de datos: </w:t>
      </w:r>
    </w:p>
    <w:p w14:paraId="396BEF00" w14:textId="77777777" w:rsidR="00CE39F6" w:rsidRDefault="00CE39F6">
      <w:pPr>
        <w:contextualSpacing/>
        <w:jc w:val="both"/>
        <w:rPr>
          <w:rFonts w:ascii="Arial" w:hAnsi="Arial" w:cs="Arial"/>
        </w:rPr>
      </w:pPr>
    </w:p>
    <w:p w14:paraId="7CBC9F33" w14:textId="77777777" w:rsidR="00CE39F6" w:rsidRDefault="008718F3">
      <w:pPr>
        <w:ind w:left="708" w:right="709"/>
        <w:contextualSpacing/>
        <w:jc w:val="both"/>
        <w:rPr>
          <w:rFonts w:ascii="Arial" w:hAnsi="Arial" w:cs="Arial"/>
          <w:i/>
        </w:rPr>
      </w:pPr>
      <w:r w:rsidRPr="008718F3">
        <w:rPr>
          <w:rFonts w:ascii="Arial" w:hAnsi="Arial" w:cs="Arial"/>
          <w:i/>
        </w:rPr>
        <w:lastRenderedPageBreak/>
        <w:t>“…</w:t>
      </w:r>
      <w:r w:rsidR="00C13D8B">
        <w:rPr>
          <w:rFonts w:ascii="Arial" w:hAnsi="Arial" w:cs="Arial"/>
          <w:i/>
        </w:rPr>
        <w:t xml:space="preserve">la selección de datos para su apertura </w:t>
      </w:r>
      <w:r w:rsidRPr="008718F3">
        <w:rPr>
          <w:rFonts w:ascii="Arial" w:hAnsi="Arial" w:cs="Arial"/>
          <w:i/>
        </w:rPr>
        <w:t>requiere del análisis de criterios de valor para</w:t>
      </w:r>
      <w:r w:rsidR="00C13D8B">
        <w:rPr>
          <w:rFonts w:ascii="Arial" w:hAnsi="Arial" w:cs="Arial"/>
          <w:i/>
        </w:rPr>
        <w:t xml:space="preserve"> </w:t>
      </w:r>
      <w:r w:rsidRPr="008718F3">
        <w:rPr>
          <w:rFonts w:ascii="Arial" w:hAnsi="Arial" w:cs="Arial"/>
          <w:i/>
        </w:rPr>
        <w:t xml:space="preserve">actores internos y </w:t>
      </w:r>
      <w:r w:rsidR="00BA65E3" w:rsidRPr="008718F3">
        <w:rPr>
          <w:rFonts w:ascii="Arial" w:hAnsi="Arial" w:cs="Arial"/>
          <w:i/>
        </w:rPr>
        <w:t>externos</w:t>
      </w:r>
      <w:r w:rsidR="00BA65E3">
        <w:rPr>
          <w:rFonts w:ascii="Arial" w:hAnsi="Arial" w:cs="Arial"/>
          <w:i/>
        </w:rPr>
        <w:t>…</w:t>
      </w:r>
      <w:r w:rsidRPr="008718F3">
        <w:rPr>
          <w:rFonts w:ascii="Arial" w:hAnsi="Arial" w:cs="Arial"/>
          <w:i/>
        </w:rPr>
        <w:t>//…</w:t>
      </w:r>
      <w:r w:rsidR="00277732">
        <w:rPr>
          <w:rFonts w:ascii="Arial" w:hAnsi="Arial" w:cs="Arial"/>
          <w:i/>
        </w:rPr>
        <w:t>Como parte del proceso de apertura se debe revisar si la información contenida en</w:t>
      </w:r>
      <w:r w:rsidRPr="008718F3">
        <w:rPr>
          <w:rFonts w:ascii="Arial" w:hAnsi="Arial" w:cs="Arial"/>
          <w:i/>
        </w:rPr>
        <w:t xml:space="preserve"> la base de datos está sujeta a las normas de privacidad y confidencialidad.”</w:t>
      </w:r>
    </w:p>
    <w:p w14:paraId="6B345D50" w14:textId="77777777" w:rsidR="00CE39F6" w:rsidRDefault="00CE39F6">
      <w:pPr>
        <w:contextualSpacing/>
        <w:jc w:val="both"/>
        <w:rPr>
          <w:rFonts w:ascii="Arial" w:hAnsi="Arial" w:cs="Arial"/>
          <w:i/>
        </w:rPr>
      </w:pPr>
    </w:p>
    <w:p w14:paraId="52ECB495" w14:textId="77777777" w:rsidR="00694813" w:rsidRDefault="008718F3" w:rsidP="00E305EA">
      <w:pPr>
        <w:contextualSpacing/>
        <w:jc w:val="both"/>
        <w:rPr>
          <w:rFonts w:ascii="Arial" w:hAnsi="Arial" w:cs="Arial"/>
        </w:rPr>
      </w:pPr>
      <w:r w:rsidRPr="008718F3">
        <w:rPr>
          <w:rFonts w:ascii="Arial" w:hAnsi="Arial" w:cs="Arial"/>
        </w:rPr>
        <w:t>El Ministerio de Hacienda no ha definido criterios de</w:t>
      </w:r>
      <w:r w:rsidRPr="008718F3">
        <w:t xml:space="preserve"> </w:t>
      </w:r>
      <w:r w:rsidRPr="008718F3">
        <w:rPr>
          <w:rFonts w:ascii="Arial" w:hAnsi="Arial" w:cs="Arial"/>
        </w:rPr>
        <w:t>valor, de privacidad y confidencialidad para la publicación de datos abiertos</w:t>
      </w:r>
      <w:r w:rsidR="00276340">
        <w:rPr>
          <w:rFonts w:ascii="Arial" w:hAnsi="Arial" w:cs="Arial"/>
        </w:rPr>
        <w:t>, que considere aspectos como:</w:t>
      </w:r>
      <w:r w:rsidR="00E305EA">
        <w:rPr>
          <w:rFonts w:ascii="Arial" w:hAnsi="Arial" w:cs="Arial"/>
        </w:rPr>
        <w:t xml:space="preserve"> </w:t>
      </w:r>
      <w:r w:rsidR="00E305EA" w:rsidRPr="00E305EA">
        <w:rPr>
          <w:rFonts w:ascii="Arial" w:hAnsi="Arial" w:cs="Arial"/>
        </w:rPr>
        <w:t>actores internos y externos</w:t>
      </w:r>
      <w:r w:rsidR="00694813">
        <w:rPr>
          <w:rFonts w:ascii="Arial" w:hAnsi="Arial" w:cs="Arial"/>
        </w:rPr>
        <w:t xml:space="preserve">, </w:t>
      </w:r>
      <w:r w:rsidR="00E305EA" w:rsidRPr="00E305EA">
        <w:rPr>
          <w:rFonts w:ascii="Arial" w:hAnsi="Arial" w:cs="Arial"/>
        </w:rPr>
        <w:t>costos para publicarlos y mantenerlos y riesgos asociados a su</w:t>
      </w:r>
      <w:r w:rsidR="00E305EA">
        <w:rPr>
          <w:rFonts w:ascii="Arial" w:hAnsi="Arial" w:cs="Arial"/>
        </w:rPr>
        <w:t xml:space="preserve"> </w:t>
      </w:r>
      <w:r w:rsidR="00E305EA" w:rsidRPr="00E305EA">
        <w:rPr>
          <w:rFonts w:ascii="Arial" w:hAnsi="Arial" w:cs="Arial"/>
        </w:rPr>
        <w:t>publicación</w:t>
      </w:r>
      <w:r w:rsidR="00276340">
        <w:rPr>
          <w:rFonts w:ascii="Arial" w:hAnsi="Arial" w:cs="Arial"/>
        </w:rPr>
        <w:t xml:space="preserve">, que ayuden </w:t>
      </w:r>
      <w:r w:rsidR="00E305EA" w:rsidRPr="00E305EA">
        <w:rPr>
          <w:rFonts w:ascii="Arial" w:hAnsi="Arial" w:cs="Arial"/>
        </w:rPr>
        <w:t>a evaluar el impacto que tendrá la apertura de cada conjunto</w:t>
      </w:r>
      <w:r w:rsidR="00E305EA">
        <w:rPr>
          <w:rFonts w:ascii="Arial" w:hAnsi="Arial" w:cs="Arial"/>
        </w:rPr>
        <w:t xml:space="preserve"> </w:t>
      </w:r>
      <w:r w:rsidR="00E305EA" w:rsidRPr="00E305EA">
        <w:rPr>
          <w:rFonts w:ascii="Arial" w:hAnsi="Arial" w:cs="Arial"/>
        </w:rPr>
        <w:t>de datos, no sólo para el órgano que la realiza sino también para la sociedad.</w:t>
      </w:r>
      <w:r w:rsidR="00E305EA">
        <w:rPr>
          <w:rFonts w:ascii="Arial" w:hAnsi="Arial" w:cs="Arial"/>
        </w:rPr>
        <w:t xml:space="preserve"> </w:t>
      </w:r>
    </w:p>
    <w:p w14:paraId="5DD88EF8" w14:textId="77777777" w:rsidR="00694813" w:rsidRDefault="00694813" w:rsidP="00E305EA">
      <w:pPr>
        <w:contextualSpacing/>
        <w:jc w:val="both"/>
        <w:rPr>
          <w:rFonts w:ascii="Arial" w:hAnsi="Arial" w:cs="Arial"/>
        </w:rPr>
      </w:pPr>
    </w:p>
    <w:p w14:paraId="118A9BB1" w14:textId="006B7E36" w:rsidR="00F52FC4" w:rsidRDefault="00E07928" w:rsidP="00F52FC4">
      <w:pPr>
        <w:contextualSpacing/>
        <w:jc w:val="both"/>
        <w:rPr>
          <w:rFonts w:ascii="Arial" w:hAnsi="Arial" w:cs="Arial"/>
        </w:rPr>
      </w:pPr>
      <w:r>
        <w:rPr>
          <w:rFonts w:ascii="Arial" w:hAnsi="Arial" w:cs="Arial"/>
        </w:rPr>
        <w:t xml:space="preserve">Lo anterior </w:t>
      </w:r>
      <w:r w:rsidR="00C73455">
        <w:rPr>
          <w:rFonts w:ascii="Arial" w:hAnsi="Arial" w:cs="Arial"/>
        </w:rPr>
        <w:t xml:space="preserve">se </w:t>
      </w:r>
      <w:r w:rsidR="003C38C1">
        <w:rPr>
          <w:rFonts w:ascii="Arial" w:hAnsi="Arial" w:cs="Arial"/>
        </w:rPr>
        <w:t xml:space="preserve">debe </w:t>
      </w:r>
      <w:r w:rsidR="008718F3">
        <w:rPr>
          <w:rFonts w:ascii="Arial" w:hAnsi="Arial" w:cs="Arial"/>
        </w:rPr>
        <w:t>a que n</w:t>
      </w:r>
      <w:r w:rsidR="008718F3" w:rsidRPr="008718F3">
        <w:rPr>
          <w:rFonts w:ascii="Arial" w:hAnsi="Arial" w:cs="Arial"/>
        </w:rPr>
        <w:t>o se ha nombrado un equipo multidisciplinario que</w:t>
      </w:r>
      <w:r w:rsidR="008718F3" w:rsidRPr="008718F3">
        <w:t xml:space="preserve"> </w:t>
      </w:r>
      <w:r w:rsidR="008718F3" w:rsidRPr="008718F3">
        <w:rPr>
          <w:rFonts w:ascii="Arial" w:hAnsi="Arial" w:cs="Arial"/>
        </w:rPr>
        <w:t>defina los criterios de valor, de privacidad y confidencialidad necesarios</w:t>
      </w:r>
      <w:r w:rsidR="00694813">
        <w:rPr>
          <w:rFonts w:ascii="Arial" w:hAnsi="Arial" w:cs="Arial"/>
        </w:rPr>
        <w:t xml:space="preserve"> en la publicación de datos abiertos</w:t>
      </w:r>
      <w:r w:rsidR="001E68D8">
        <w:rPr>
          <w:rFonts w:ascii="Arial" w:hAnsi="Arial" w:cs="Arial"/>
        </w:rPr>
        <w:t>, aunado que tampoco existe un marco de gobernanza del proceso de publicación de datos públicos, donde se establezcan sus principios, políticas y procedimientos por los cuales es dirigido y controlado</w:t>
      </w:r>
      <w:r w:rsidR="001E68D8" w:rsidRPr="006C2630">
        <w:rPr>
          <w:rFonts w:ascii="Arial" w:hAnsi="Arial" w:cs="Arial"/>
        </w:rPr>
        <w:t>.</w:t>
      </w:r>
    </w:p>
    <w:p w14:paraId="6DAAB4F7" w14:textId="77777777" w:rsidR="004B1DCA" w:rsidRDefault="004B1DCA">
      <w:pPr>
        <w:contextualSpacing/>
        <w:jc w:val="both"/>
        <w:rPr>
          <w:rFonts w:ascii="Arial" w:hAnsi="Arial" w:cs="Arial"/>
        </w:rPr>
      </w:pPr>
    </w:p>
    <w:p w14:paraId="48ED4D55" w14:textId="56961D6F" w:rsidR="005F0403" w:rsidRDefault="004B1DCA" w:rsidP="00277732">
      <w:pPr>
        <w:contextualSpacing/>
        <w:jc w:val="both"/>
        <w:rPr>
          <w:rFonts w:ascii="Arial" w:hAnsi="Arial" w:cs="Arial"/>
        </w:rPr>
      </w:pPr>
      <w:r>
        <w:rPr>
          <w:rFonts w:ascii="Arial" w:hAnsi="Arial" w:cs="Arial"/>
        </w:rPr>
        <w:t>La situación antes expuesta</w:t>
      </w:r>
      <w:r w:rsidR="00604B61">
        <w:rPr>
          <w:rFonts w:ascii="Arial" w:hAnsi="Arial" w:cs="Arial"/>
        </w:rPr>
        <w:t>,</w:t>
      </w:r>
      <w:r>
        <w:rPr>
          <w:rFonts w:ascii="Arial" w:hAnsi="Arial" w:cs="Arial"/>
        </w:rPr>
        <w:t xml:space="preserve"> </w:t>
      </w:r>
      <w:r w:rsidR="00C73455">
        <w:rPr>
          <w:rFonts w:ascii="Arial" w:hAnsi="Arial" w:cs="Arial"/>
        </w:rPr>
        <w:t>genera el</w:t>
      </w:r>
      <w:r w:rsidRPr="004B1DCA">
        <w:rPr>
          <w:rFonts w:ascii="Arial" w:hAnsi="Arial" w:cs="Arial"/>
        </w:rPr>
        <w:t xml:space="preserve"> riesgo </w:t>
      </w:r>
      <w:r w:rsidR="005F0403" w:rsidRPr="005F0403">
        <w:rPr>
          <w:rFonts w:ascii="Arial" w:hAnsi="Arial" w:cs="Arial"/>
        </w:rPr>
        <w:t xml:space="preserve">de publicación de información que no cumpla con las necesidades de los usuarios. Asimismo, se puede dar la publicación de datos </w:t>
      </w:r>
      <w:r w:rsidR="0049782B">
        <w:rPr>
          <w:rFonts w:ascii="Arial" w:hAnsi="Arial" w:cs="Arial"/>
        </w:rPr>
        <w:t>que tengan limitaciones legales para su publicación</w:t>
      </w:r>
      <w:r w:rsidR="005F0403" w:rsidRPr="005F0403">
        <w:rPr>
          <w:rFonts w:ascii="Arial" w:hAnsi="Arial" w:cs="Arial"/>
        </w:rPr>
        <w:t xml:space="preserve">, lo cual puede generar conflictos legales en </w:t>
      </w:r>
      <w:r w:rsidR="00277732">
        <w:rPr>
          <w:rFonts w:ascii="Arial" w:hAnsi="Arial" w:cs="Arial"/>
        </w:rPr>
        <w:t>detrimento</w:t>
      </w:r>
      <w:r w:rsidR="00277732" w:rsidRPr="005F0403">
        <w:rPr>
          <w:rFonts w:ascii="Arial" w:hAnsi="Arial" w:cs="Arial"/>
        </w:rPr>
        <w:t xml:space="preserve"> </w:t>
      </w:r>
      <w:r w:rsidR="005F0403" w:rsidRPr="005F0403">
        <w:rPr>
          <w:rFonts w:ascii="Arial" w:hAnsi="Arial" w:cs="Arial"/>
        </w:rPr>
        <w:t>de la imagen de la institución.</w:t>
      </w:r>
    </w:p>
    <w:p w14:paraId="52BC9B68" w14:textId="77777777" w:rsidR="006D7517" w:rsidRDefault="006D7517" w:rsidP="00277732">
      <w:pPr>
        <w:contextualSpacing/>
        <w:jc w:val="both"/>
        <w:rPr>
          <w:rFonts w:ascii="Arial" w:hAnsi="Arial" w:cs="Arial"/>
        </w:rPr>
      </w:pPr>
    </w:p>
    <w:p w14:paraId="28A2C358" w14:textId="4F062409" w:rsidR="00505875" w:rsidRPr="00505875" w:rsidRDefault="00FB3FEA" w:rsidP="00552D74">
      <w:pPr>
        <w:pStyle w:val="Ttulo1"/>
        <w:keepNext w:val="0"/>
        <w:keepLines w:val="0"/>
        <w:numPr>
          <w:ilvl w:val="2"/>
          <w:numId w:val="19"/>
        </w:numPr>
        <w:spacing w:before="0" w:after="0"/>
        <w:ind w:left="0" w:right="51" w:firstLine="0"/>
        <w:contextualSpacing/>
        <w:jc w:val="both"/>
        <w:rPr>
          <w:rFonts w:ascii="Arial" w:hAnsi="Arial" w:cs="Arial"/>
          <w:b/>
          <w:bCs/>
          <w:color w:val="44546A"/>
          <w:kern w:val="28"/>
          <w:sz w:val="24"/>
          <w:szCs w:val="24"/>
          <w:lang w:eastAsia="es-ES"/>
        </w:rPr>
      </w:pPr>
      <w:bookmarkStart w:id="85" w:name="_Toc104793359"/>
      <w:bookmarkEnd w:id="84"/>
      <w:r>
        <w:rPr>
          <w:rFonts w:ascii="Arial" w:hAnsi="Arial" w:cs="Arial"/>
          <w:b/>
          <w:bCs/>
          <w:color w:val="44546A"/>
          <w:kern w:val="28"/>
          <w:sz w:val="24"/>
          <w:szCs w:val="24"/>
          <w:lang w:eastAsia="es-ES"/>
        </w:rPr>
        <w:t>Proceso</w:t>
      </w:r>
      <w:r w:rsidR="00505875" w:rsidRPr="00505875">
        <w:rPr>
          <w:rFonts w:ascii="Arial" w:hAnsi="Arial" w:cs="Arial"/>
          <w:b/>
          <w:bCs/>
          <w:color w:val="44546A"/>
          <w:kern w:val="28"/>
          <w:sz w:val="24"/>
          <w:szCs w:val="24"/>
          <w:lang w:eastAsia="es-ES"/>
        </w:rPr>
        <w:t xml:space="preserve"> de planificación para la apertura de datos abiertos</w:t>
      </w:r>
      <w:bookmarkEnd w:id="85"/>
    </w:p>
    <w:p w14:paraId="072CC34A" w14:textId="77777777" w:rsidR="00505875" w:rsidRDefault="00505875">
      <w:pPr>
        <w:contextualSpacing/>
        <w:jc w:val="both"/>
        <w:rPr>
          <w:rFonts w:ascii="Arial" w:hAnsi="Arial" w:cs="Arial"/>
        </w:rPr>
      </w:pPr>
    </w:p>
    <w:p w14:paraId="5B4CA9D3" w14:textId="77777777" w:rsidR="00574C77" w:rsidRDefault="005F0403">
      <w:pPr>
        <w:contextualSpacing/>
        <w:jc w:val="both"/>
        <w:rPr>
          <w:rFonts w:ascii="Arial" w:hAnsi="Arial" w:cs="Arial"/>
        </w:rPr>
      </w:pPr>
      <w:r>
        <w:rPr>
          <w:rFonts w:ascii="Arial" w:hAnsi="Arial" w:cs="Arial"/>
        </w:rPr>
        <w:t>En el a</w:t>
      </w:r>
      <w:r w:rsidRPr="005F0403">
        <w:rPr>
          <w:rFonts w:ascii="Arial" w:hAnsi="Arial" w:cs="Arial"/>
        </w:rPr>
        <w:t>rtículo 11</w:t>
      </w:r>
      <w:r>
        <w:rPr>
          <w:rFonts w:ascii="Arial" w:hAnsi="Arial" w:cs="Arial"/>
        </w:rPr>
        <w:t xml:space="preserve">, del </w:t>
      </w:r>
      <w:r w:rsidR="003D15A7">
        <w:rPr>
          <w:rFonts w:ascii="Arial" w:hAnsi="Arial" w:cs="Arial"/>
        </w:rPr>
        <w:t>D</w:t>
      </w:r>
      <w:r>
        <w:rPr>
          <w:rFonts w:ascii="Arial" w:hAnsi="Arial" w:cs="Arial"/>
        </w:rPr>
        <w:t xml:space="preserve">ecreto </w:t>
      </w:r>
      <w:r w:rsidRPr="005F0403">
        <w:rPr>
          <w:rFonts w:ascii="Arial" w:hAnsi="Arial" w:cs="Arial"/>
        </w:rPr>
        <w:t>N° 40199-MP</w:t>
      </w:r>
      <w:r>
        <w:rPr>
          <w:rFonts w:ascii="Arial" w:hAnsi="Arial" w:cs="Arial"/>
        </w:rPr>
        <w:t xml:space="preserve"> “Apertura de Datos Públicos”, se norma</w:t>
      </w:r>
      <w:r w:rsidR="008166DD">
        <w:rPr>
          <w:rFonts w:ascii="Arial" w:hAnsi="Arial" w:cs="Arial"/>
        </w:rPr>
        <w:t xml:space="preserve"> lo siguiente</w:t>
      </w:r>
      <w:r w:rsidR="001F166F">
        <w:rPr>
          <w:rFonts w:ascii="Arial" w:hAnsi="Arial" w:cs="Arial"/>
        </w:rPr>
        <w:t>:</w:t>
      </w:r>
    </w:p>
    <w:p w14:paraId="271BE97B" w14:textId="77777777" w:rsidR="005F0403" w:rsidRPr="00574C77" w:rsidRDefault="005F0403">
      <w:pPr>
        <w:contextualSpacing/>
        <w:jc w:val="both"/>
        <w:rPr>
          <w:rFonts w:ascii="Arial" w:hAnsi="Arial" w:cs="Arial"/>
        </w:rPr>
      </w:pPr>
    </w:p>
    <w:p w14:paraId="74D8E7C0" w14:textId="77777777" w:rsidR="00574C77" w:rsidRPr="008F0653" w:rsidRDefault="005F0403">
      <w:pPr>
        <w:ind w:left="709" w:right="709"/>
        <w:contextualSpacing/>
        <w:jc w:val="both"/>
        <w:rPr>
          <w:rFonts w:ascii="Arial" w:hAnsi="Arial" w:cs="Arial"/>
          <w:i/>
        </w:rPr>
      </w:pPr>
      <w:r w:rsidRPr="008F0653">
        <w:rPr>
          <w:rFonts w:ascii="Arial" w:hAnsi="Arial" w:cs="Arial"/>
          <w:i/>
        </w:rPr>
        <w:t>“</w:t>
      </w:r>
      <w:r w:rsidR="00277732" w:rsidRPr="000555E5">
        <w:rPr>
          <w:rFonts w:ascii="Arial" w:hAnsi="Arial" w:cs="Arial"/>
          <w:i/>
          <w:color w:val="000000"/>
        </w:rPr>
        <w:t>a</w:t>
      </w:r>
      <w:r w:rsidR="00277732" w:rsidRPr="000555E5">
        <w:rPr>
          <w:rFonts w:ascii="Arial" w:hAnsi="Arial" w:cs="Arial"/>
          <w:i/>
        </w:rPr>
        <w:t>.</w:t>
      </w:r>
      <w:r w:rsidR="00277732" w:rsidRPr="00EB2A0F">
        <w:rPr>
          <w:rFonts w:ascii="Arial" w:hAnsi="Arial" w:cs="Arial"/>
          <w:i/>
        </w:rPr>
        <w:t xml:space="preserve"> El proceso de apertura de datos de carácter público en formato abierto, neutral e interoperable se </w:t>
      </w:r>
      <w:r w:rsidR="00A23C23" w:rsidRPr="00EB2A0F">
        <w:rPr>
          <w:rFonts w:ascii="Arial" w:hAnsi="Arial" w:cs="Arial"/>
          <w:i/>
        </w:rPr>
        <w:t>abordará</w:t>
      </w:r>
      <w:r w:rsidR="00277732" w:rsidRPr="00EB2A0F">
        <w:rPr>
          <w:rFonts w:ascii="Arial" w:hAnsi="Arial" w:cs="Arial"/>
          <w:i/>
        </w:rPr>
        <w:t xml:space="preserve"> bajo la coordinación del enlace institucional; que debe planificar con el equipo multidisciplinario de la institución y de acuerdo a sus funciones</w:t>
      </w:r>
      <w:r w:rsidRPr="008F0653">
        <w:rPr>
          <w:rFonts w:ascii="Arial" w:hAnsi="Arial" w:cs="Arial"/>
          <w:i/>
        </w:rPr>
        <w:t xml:space="preserve">”  </w:t>
      </w:r>
    </w:p>
    <w:p w14:paraId="403FA94F" w14:textId="77777777" w:rsidR="00C141C1" w:rsidRDefault="00C141C1">
      <w:pPr>
        <w:contextualSpacing/>
        <w:jc w:val="both"/>
        <w:rPr>
          <w:rFonts w:ascii="Arial" w:hAnsi="Arial" w:cs="Arial"/>
        </w:rPr>
      </w:pPr>
    </w:p>
    <w:p w14:paraId="654F1F94" w14:textId="468720CE" w:rsidR="00B76A26" w:rsidRDefault="00EE391A" w:rsidP="00694813">
      <w:pPr>
        <w:contextualSpacing/>
        <w:jc w:val="both"/>
        <w:rPr>
          <w:rFonts w:ascii="Arial" w:hAnsi="Arial" w:cs="Arial"/>
        </w:rPr>
      </w:pPr>
      <w:bookmarkStart w:id="86" w:name="_Hlk104208736"/>
      <w:r>
        <w:rPr>
          <w:rFonts w:ascii="Arial" w:hAnsi="Arial" w:cs="Arial"/>
        </w:rPr>
        <w:t xml:space="preserve">Al respecto, </w:t>
      </w:r>
      <w:r w:rsidR="008F0653">
        <w:rPr>
          <w:rFonts w:ascii="Arial" w:hAnsi="Arial" w:cs="Arial"/>
        </w:rPr>
        <w:t>e</w:t>
      </w:r>
      <w:r w:rsidR="008F0653" w:rsidRPr="008F0653">
        <w:rPr>
          <w:rFonts w:ascii="Arial" w:hAnsi="Arial" w:cs="Arial"/>
        </w:rPr>
        <w:t>l Ministerio de Hacienda no dispone de un</w:t>
      </w:r>
      <w:r w:rsidR="0062151B">
        <w:rPr>
          <w:rFonts w:ascii="Arial" w:hAnsi="Arial" w:cs="Arial"/>
        </w:rPr>
        <w:t xml:space="preserve"> proceso de</w:t>
      </w:r>
      <w:r w:rsidR="008F0653" w:rsidRPr="008F0653">
        <w:rPr>
          <w:rFonts w:ascii="Arial" w:hAnsi="Arial" w:cs="Arial"/>
        </w:rPr>
        <w:t xml:space="preserve"> planificación para la apertura de datos abiert</w:t>
      </w:r>
      <w:r w:rsidR="00694813">
        <w:rPr>
          <w:rFonts w:ascii="Arial" w:hAnsi="Arial" w:cs="Arial"/>
        </w:rPr>
        <w:t xml:space="preserve">os, </w:t>
      </w:r>
      <w:r w:rsidR="002509D9">
        <w:rPr>
          <w:rFonts w:ascii="Arial" w:hAnsi="Arial" w:cs="Arial"/>
        </w:rPr>
        <w:t xml:space="preserve">de </w:t>
      </w:r>
      <w:r w:rsidR="00B76A26">
        <w:rPr>
          <w:rFonts w:ascii="Arial" w:hAnsi="Arial" w:cs="Arial"/>
        </w:rPr>
        <w:t>conformidad con la</w:t>
      </w:r>
      <w:r w:rsidR="00694813">
        <w:rPr>
          <w:rFonts w:ascii="Arial" w:hAnsi="Arial" w:cs="Arial"/>
        </w:rPr>
        <w:t xml:space="preserve"> Guía de publicación de Datos Abiertos</w:t>
      </w:r>
      <w:r w:rsidR="002509D9">
        <w:rPr>
          <w:rFonts w:ascii="Arial" w:hAnsi="Arial" w:cs="Arial"/>
        </w:rPr>
        <w:t>, que considere aspectos tales como:</w:t>
      </w:r>
    </w:p>
    <w:bookmarkEnd w:id="86"/>
    <w:p w14:paraId="277B4F7A" w14:textId="77777777" w:rsidR="0029600F" w:rsidRDefault="0029600F" w:rsidP="00590CCE">
      <w:pPr>
        <w:contextualSpacing/>
        <w:jc w:val="both"/>
        <w:rPr>
          <w:rFonts w:ascii="Arial" w:hAnsi="Arial" w:cs="Arial"/>
        </w:rPr>
      </w:pPr>
    </w:p>
    <w:p w14:paraId="40A4C593" w14:textId="77777777" w:rsidR="00B76A26" w:rsidRDefault="00694813" w:rsidP="00590CCE">
      <w:pPr>
        <w:pStyle w:val="Prrafodelista"/>
        <w:numPr>
          <w:ilvl w:val="0"/>
          <w:numId w:val="28"/>
        </w:numPr>
        <w:jc w:val="both"/>
        <w:rPr>
          <w:rFonts w:ascii="Arial" w:hAnsi="Arial" w:cs="Arial"/>
        </w:rPr>
      </w:pPr>
      <w:r w:rsidRPr="00B76A26">
        <w:rPr>
          <w:rFonts w:ascii="Arial" w:hAnsi="Arial" w:cs="Arial"/>
        </w:rPr>
        <w:t>Identificación de la demanda, evaluación y estado de los datos</w:t>
      </w:r>
      <w:r w:rsidR="00B76A26">
        <w:rPr>
          <w:rFonts w:ascii="Arial" w:hAnsi="Arial" w:cs="Arial"/>
        </w:rPr>
        <w:t>.</w:t>
      </w:r>
    </w:p>
    <w:p w14:paraId="0C3C7278" w14:textId="77777777" w:rsidR="00B76A26" w:rsidRDefault="00B76A26" w:rsidP="00590CCE">
      <w:pPr>
        <w:pStyle w:val="Prrafodelista"/>
        <w:numPr>
          <w:ilvl w:val="0"/>
          <w:numId w:val="28"/>
        </w:numPr>
        <w:jc w:val="both"/>
        <w:rPr>
          <w:rFonts w:ascii="Arial" w:hAnsi="Arial" w:cs="Arial"/>
        </w:rPr>
      </w:pPr>
      <w:r>
        <w:rPr>
          <w:rFonts w:ascii="Arial" w:hAnsi="Arial" w:cs="Arial"/>
        </w:rPr>
        <w:t>P</w:t>
      </w:r>
      <w:r w:rsidR="00694813" w:rsidRPr="00B76A26">
        <w:rPr>
          <w:rFonts w:ascii="Arial" w:hAnsi="Arial" w:cs="Arial"/>
        </w:rPr>
        <w:t>riorización de los conjuntos de datos a liberar</w:t>
      </w:r>
      <w:r>
        <w:rPr>
          <w:rFonts w:ascii="Arial" w:hAnsi="Arial" w:cs="Arial"/>
        </w:rPr>
        <w:t>.</w:t>
      </w:r>
    </w:p>
    <w:p w14:paraId="060025D0" w14:textId="77777777" w:rsidR="00B76A26" w:rsidRDefault="00B76A26" w:rsidP="00590CCE">
      <w:pPr>
        <w:pStyle w:val="Prrafodelista"/>
        <w:numPr>
          <w:ilvl w:val="0"/>
          <w:numId w:val="28"/>
        </w:numPr>
        <w:jc w:val="both"/>
        <w:rPr>
          <w:rFonts w:ascii="Arial" w:hAnsi="Arial" w:cs="Arial"/>
        </w:rPr>
      </w:pPr>
      <w:r>
        <w:rPr>
          <w:rFonts w:ascii="Arial" w:hAnsi="Arial" w:cs="Arial"/>
        </w:rPr>
        <w:t>A</w:t>
      </w:r>
      <w:r w:rsidR="00694813" w:rsidRPr="00B76A26">
        <w:rPr>
          <w:rFonts w:ascii="Arial" w:hAnsi="Arial" w:cs="Arial"/>
        </w:rPr>
        <w:t>nálisis de confidencialidad de la información</w:t>
      </w:r>
      <w:r>
        <w:rPr>
          <w:rFonts w:ascii="Arial" w:hAnsi="Arial" w:cs="Arial"/>
        </w:rPr>
        <w:t>.</w:t>
      </w:r>
    </w:p>
    <w:p w14:paraId="4EB7433A" w14:textId="77777777" w:rsidR="00B76A26" w:rsidRDefault="00B76A26" w:rsidP="00590CCE">
      <w:pPr>
        <w:pStyle w:val="Prrafodelista"/>
        <w:numPr>
          <w:ilvl w:val="0"/>
          <w:numId w:val="28"/>
        </w:numPr>
        <w:jc w:val="both"/>
        <w:rPr>
          <w:rFonts w:ascii="Arial" w:hAnsi="Arial" w:cs="Arial"/>
        </w:rPr>
      </w:pPr>
      <w:r>
        <w:rPr>
          <w:rFonts w:ascii="Arial" w:hAnsi="Arial" w:cs="Arial"/>
        </w:rPr>
        <w:t>L</w:t>
      </w:r>
      <w:r w:rsidR="00694813" w:rsidRPr="00B76A26">
        <w:rPr>
          <w:rFonts w:ascii="Arial" w:hAnsi="Arial" w:cs="Arial"/>
        </w:rPr>
        <w:t>impieza de los conjuntos de datos</w:t>
      </w:r>
      <w:r>
        <w:rPr>
          <w:rFonts w:ascii="Arial" w:hAnsi="Arial" w:cs="Arial"/>
        </w:rPr>
        <w:t>.</w:t>
      </w:r>
    </w:p>
    <w:p w14:paraId="679AD76B" w14:textId="77777777" w:rsidR="00B76A26" w:rsidRDefault="00B76A26" w:rsidP="00590CCE">
      <w:pPr>
        <w:pStyle w:val="Prrafodelista"/>
        <w:numPr>
          <w:ilvl w:val="0"/>
          <w:numId w:val="28"/>
        </w:numPr>
        <w:jc w:val="both"/>
        <w:rPr>
          <w:rFonts w:ascii="Arial" w:hAnsi="Arial" w:cs="Arial"/>
        </w:rPr>
      </w:pPr>
      <w:r>
        <w:rPr>
          <w:rFonts w:ascii="Arial" w:hAnsi="Arial" w:cs="Arial"/>
        </w:rPr>
        <w:t>De</w:t>
      </w:r>
      <w:r w:rsidR="00694813" w:rsidRPr="00B76A26">
        <w:rPr>
          <w:rFonts w:ascii="Arial" w:hAnsi="Arial" w:cs="Arial"/>
        </w:rPr>
        <w:t>finición de metadatos</w:t>
      </w:r>
      <w:r>
        <w:rPr>
          <w:rFonts w:ascii="Arial" w:hAnsi="Arial" w:cs="Arial"/>
        </w:rPr>
        <w:t>.</w:t>
      </w:r>
    </w:p>
    <w:p w14:paraId="3A470B6C" w14:textId="77777777" w:rsidR="00B76A26" w:rsidRDefault="00B76A26" w:rsidP="00590CCE">
      <w:pPr>
        <w:pStyle w:val="Prrafodelista"/>
        <w:numPr>
          <w:ilvl w:val="0"/>
          <w:numId w:val="28"/>
        </w:numPr>
        <w:jc w:val="both"/>
        <w:rPr>
          <w:rFonts w:ascii="Arial" w:hAnsi="Arial" w:cs="Arial"/>
        </w:rPr>
      </w:pPr>
      <w:r>
        <w:rPr>
          <w:rFonts w:ascii="Arial" w:hAnsi="Arial" w:cs="Arial"/>
        </w:rPr>
        <w:t>R</w:t>
      </w:r>
      <w:r w:rsidR="00694813" w:rsidRPr="00B76A26">
        <w:rPr>
          <w:rFonts w:ascii="Arial" w:hAnsi="Arial" w:cs="Arial"/>
        </w:rPr>
        <w:t xml:space="preserve">evisión de datos para que cumplan con un formato abierto, neutral, interoperable y </w:t>
      </w:r>
      <w:proofErr w:type="spellStart"/>
      <w:r w:rsidR="00694813" w:rsidRPr="00B76A26">
        <w:rPr>
          <w:rFonts w:ascii="Arial" w:hAnsi="Arial" w:cs="Arial"/>
        </w:rPr>
        <w:t>georeferenciado</w:t>
      </w:r>
      <w:proofErr w:type="spellEnd"/>
      <w:r>
        <w:rPr>
          <w:rFonts w:ascii="Arial" w:hAnsi="Arial" w:cs="Arial"/>
        </w:rPr>
        <w:t xml:space="preserve">. </w:t>
      </w:r>
    </w:p>
    <w:p w14:paraId="528E091F" w14:textId="77777777" w:rsidR="00B76A26" w:rsidRDefault="00B76A26" w:rsidP="00590CCE">
      <w:pPr>
        <w:pStyle w:val="Prrafodelista"/>
        <w:numPr>
          <w:ilvl w:val="0"/>
          <w:numId w:val="28"/>
        </w:numPr>
        <w:jc w:val="both"/>
        <w:rPr>
          <w:rFonts w:ascii="Arial" w:hAnsi="Arial" w:cs="Arial"/>
        </w:rPr>
      </w:pPr>
      <w:r>
        <w:rPr>
          <w:rFonts w:ascii="Arial" w:hAnsi="Arial" w:cs="Arial"/>
        </w:rPr>
        <w:t>A</w:t>
      </w:r>
      <w:r w:rsidR="00694813" w:rsidRPr="00B76A26">
        <w:rPr>
          <w:rFonts w:ascii="Arial" w:hAnsi="Arial" w:cs="Arial"/>
        </w:rPr>
        <w:t>signación de la licencia de uso y reutilización, publicación y comunicación</w:t>
      </w:r>
      <w:r>
        <w:rPr>
          <w:rFonts w:ascii="Arial" w:hAnsi="Arial" w:cs="Arial"/>
        </w:rPr>
        <w:t xml:space="preserve">. </w:t>
      </w:r>
    </w:p>
    <w:p w14:paraId="2E00D0C4" w14:textId="77777777" w:rsidR="004B1DCA" w:rsidRPr="00B76A26" w:rsidRDefault="00B76A26" w:rsidP="00590CCE">
      <w:pPr>
        <w:pStyle w:val="Prrafodelista"/>
        <w:numPr>
          <w:ilvl w:val="0"/>
          <w:numId w:val="28"/>
        </w:numPr>
        <w:jc w:val="both"/>
        <w:rPr>
          <w:rFonts w:ascii="Arial" w:hAnsi="Arial" w:cs="Arial"/>
        </w:rPr>
      </w:pPr>
      <w:r>
        <w:rPr>
          <w:rFonts w:ascii="Arial" w:hAnsi="Arial" w:cs="Arial"/>
        </w:rPr>
        <w:t>P</w:t>
      </w:r>
      <w:r w:rsidR="00694813" w:rsidRPr="00B76A26">
        <w:rPr>
          <w:rFonts w:ascii="Arial" w:hAnsi="Arial" w:cs="Arial"/>
        </w:rPr>
        <w:t>romoción de los datos.</w:t>
      </w:r>
    </w:p>
    <w:p w14:paraId="7055B542" w14:textId="77777777" w:rsidR="004B1DCA" w:rsidRDefault="004B1DCA" w:rsidP="00590CCE">
      <w:pPr>
        <w:contextualSpacing/>
        <w:jc w:val="both"/>
        <w:rPr>
          <w:rFonts w:ascii="Arial" w:hAnsi="Arial" w:cs="Arial"/>
        </w:rPr>
      </w:pPr>
    </w:p>
    <w:p w14:paraId="23179ED0" w14:textId="65491AC3" w:rsidR="004B1DCA" w:rsidRDefault="004B1DCA">
      <w:pPr>
        <w:contextualSpacing/>
        <w:jc w:val="both"/>
        <w:rPr>
          <w:rFonts w:ascii="Arial" w:hAnsi="Arial" w:cs="Arial"/>
        </w:rPr>
      </w:pPr>
      <w:r w:rsidRPr="004B1DCA">
        <w:rPr>
          <w:rFonts w:ascii="Arial" w:hAnsi="Arial" w:cs="Arial"/>
        </w:rPr>
        <w:t>Lo anterior</w:t>
      </w:r>
      <w:r>
        <w:rPr>
          <w:rFonts w:ascii="Arial" w:hAnsi="Arial" w:cs="Arial"/>
        </w:rPr>
        <w:t xml:space="preserve">, se debe a que </w:t>
      </w:r>
      <w:r w:rsidR="008F0653">
        <w:rPr>
          <w:rFonts w:ascii="Arial" w:hAnsi="Arial" w:cs="Arial"/>
        </w:rPr>
        <w:t>n</w:t>
      </w:r>
      <w:r w:rsidR="008F0653" w:rsidRPr="008F0653">
        <w:rPr>
          <w:rFonts w:ascii="Arial" w:hAnsi="Arial" w:cs="Arial"/>
        </w:rPr>
        <w:t>o existe un equipo multidisciplinario que coordine con el Oficial de Acceso a la información, la etapa de planificación de apertura datos</w:t>
      </w:r>
      <w:r w:rsidR="00171288">
        <w:rPr>
          <w:rFonts w:ascii="Arial" w:hAnsi="Arial" w:cs="Arial"/>
        </w:rPr>
        <w:t xml:space="preserve">, </w:t>
      </w:r>
      <w:r w:rsidR="001E68D8">
        <w:rPr>
          <w:rFonts w:ascii="Arial" w:hAnsi="Arial" w:cs="Arial"/>
        </w:rPr>
        <w:t>aunado a que</w:t>
      </w:r>
      <w:r w:rsidR="00171288">
        <w:rPr>
          <w:rFonts w:ascii="Arial" w:hAnsi="Arial" w:cs="Arial"/>
        </w:rPr>
        <w:t xml:space="preserve"> tampoco existe un marco de gobernanza del </w:t>
      </w:r>
      <w:r w:rsidR="00F52FC4">
        <w:rPr>
          <w:rFonts w:ascii="Arial" w:hAnsi="Arial" w:cs="Arial"/>
        </w:rPr>
        <w:t>proceso de publicación de datos públicos</w:t>
      </w:r>
      <w:r w:rsidR="00171288">
        <w:rPr>
          <w:rFonts w:ascii="Arial" w:hAnsi="Arial" w:cs="Arial"/>
        </w:rPr>
        <w:t xml:space="preserve">, </w:t>
      </w:r>
      <w:r w:rsidR="00171288">
        <w:rPr>
          <w:rFonts w:ascii="Arial" w:hAnsi="Arial" w:cs="Arial"/>
        </w:rPr>
        <w:lastRenderedPageBreak/>
        <w:t>donde se establezcan sus principios, políticas y procedimientos por los cuales es dirigido y controlado</w:t>
      </w:r>
      <w:r w:rsidR="00F52FC4" w:rsidRPr="006C2630">
        <w:rPr>
          <w:rFonts w:ascii="Arial" w:hAnsi="Arial" w:cs="Arial"/>
        </w:rPr>
        <w:t>.</w:t>
      </w:r>
    </w:p>
    <w:p w14:paraId="5C345286" w14:textId="77777777" w:rsidR="008F0653" w:rsidRDefault="008F0653">
      <w:pPr>
        <w:contextualSpacing/>
        <w:jc w:val="both"/>
        <w:rPr>
          <w:rFonts w:ascii="Arial" w:hAnsi="Arial" w:cs="Arial"/>
        </w:rPr>
      </w:pPr>
    </w:p>
    <w:p w14:paraId="5E4ECB06" w14:textId="77777777" w:rsidR="00296FC1" w:rsidRDefault="004B1DCA">
      <w:pPr>
        <w:contextualSpacing/>
        <w:jc w:val="both"/>
        <w:rPr>
          <w:rFonts w:ascii="Arial" w:hAnsi="Arial" w:cs="Arial"/>
        </w:rPr>
      </w:pPr>
      <w:r w:rsidRPr="004B1DCA">
        <w:rPr>
          <w:rFonts w:ascii="Arial" w:hAnsi="Arial" w:cs="Arial"/>
        </w:rPr>
        <w:t xml:space="preserve">La falta de </w:t>
      </w:r>
      <w:r w:rsidR="008F0653">
        <w:rPr>
          <w:rFonts w:ascii="Arial" w:hAnsi="Arial" w:cs="Arial"/>
        </w:rPr>
        <w:t>un adecuado proceso de planificación para la apertura de datos</w:t>
      </w:r>
      <w:r w:rsidR="00E61641">
        <w:rPr>
          <w:rFonts w:ascii="Arial" w:hAnsi="Arial" w:cs="Arial"/>
        </w:rPr>
        <w:t>,</w:t>
      </w:r>
      <w:r w:rsidRPr="004B1DCA">
        <w:rPr>
          <w:rFonts w:ascii="Arial" w:hAnsi="Arial" w:cs="Arial"/>
        </w:rPr>
        <w:t xml:space="preserve"> genera el riesgo </w:t>
      </w:r>
      <w:r w:rsidR="008F0653" w:rsidRPr="008F0653">
        <w:rPr>
          <w:rFonts w:ascii="Arial" w:hAnsi="Arial" w:cs="Arial"/>
        </w:rPr>
        <w:t>de que no se definan los objetivos, metas, actividades, responsables y plazos, entre otros</w:t>
      </w:r>
      <w:r w:rsidR="002509D9">
        <w:rPr>
          <w:rFonts w:ascii="Arial" w:hAnsi="Arial" w:cs="Arial"/>
        </w:rPr>
        <w:t>.</w:t>
      </w:r>
      <w:r w:rsidR="008F0653" w:rsidRPr="008F0653">
        <w:rPr>
          <w:rFonts w:ascii="Arial" w:hAnsi="Arial" w:cs="Arial"/>
        </w:rPr>
        <w:t xml:space="preserve"> </w:t>
      </w:r>
    </w:p>
    <w:p w14:paraId="2A08C94C" w14:textId="77777777" w:rsidR="00A23C23" w:rsidRDefault="00A23C23">
      <w:pPr>
        <w:contextualSpacing/>
        <w:jc w:val="both"/>
        <w:rPr>
          <w:rFonts w:ascii="Arial" w:hAnsi="Arial" w:cs="Arial"/>
        </w:rPr>
      </w:pPr>
    </w:p>
    <w:p w14:paraId="7B26426B" w14:textId="77777777" w:rsidR="00A136E4" w:rsidRDefault="00A136E4" w:rsidP="0075402E">
      <w:pPr>
        <w:pStyle w:val="Ttulo1"/>
        <w:keepNext w:val="0"/>
        <w:keepLines w:val="0"/>
        <w:numPr>
          <w:ilvl w:val="0"/>
          <w:numId w:val="20"/>
        </w:numPr>
        <w:spacing w:before="0" w:after="0" w:line="0" w:lineRule="atLeast"/>
        <w:contextualSpacing/>
        <w:rPr>
          <w:rFonts w:ascii="Arial" w:hAnsi="Arial" w:cs="Arial"/>
          <w:b/>
          <w:bCs/>
          <w:color w:val="44546A" w:themeColor="text2"/>
          <w:kern w:val="28"/>
          <w:sz w:val="28"/>
          <w:szCs w:val="28"/>
          <w:lang w:eastAsia="es-ES"/>
        </w:rPr>
      </w:pPr>
      <w:bookmarkStart w:id="87" w:name="_Toc90467933"/>
      <w:bookmarkStart w:id="88" w:name="_Toc104793360"/>
      <w:bookmarkEnd w:id="80"/>
      <w:r w:rsidRPr="009D775C">
        <w:rPr>
          <w:rFonts w:ascii="Arial" w:hAnsi="Arial" w:cs="Arial"/>
          <w:b/>
          <w:bCs/>
          <w:color w:val="44546A" w:themeColor="text2"/>
          <w:kern w:val="28"/>
          <w:sz w:val="28"/>
          <w:szCs w:val="28"/>
          <w:lang w:eastAsia="es-ES"/>
        </w:rPr>
        <w:t>CONCLUSI</w:t>
      </w:r>
      <w:r w:rsidR="00BD5A52">
        <w:rPr>
          <w:rFonts w:ascii="Arial" w:hAnsi="Arial" w:cs="Arial"/>
          <w:b/>
          <w:bCs/>
          <w:color w:val="44546A" w:themeColor="text2"/>
          <w:kern w:val="28"/>
          <w:sz w:val="28"/>
          <w:szCs w:val="28"/>
          <w:lang w:eastAsia="es-ES"/>
        </w:rPr>
        <w:t>O</w:t>
      </w:r>
      <w:r w:rsidRPr="009D775C">
        <w:rPr>
          <w:rFonts w:ascii="Arial" w:hAnsi="Arial" w:cs="Arial"/>
          <w:b/>
          <w:bCs/>
          <w:color w:val="44546A" w:themeColor="text2"/>
          <w:kern w:val="28"/>
          <w:sz w:val="28"/>
          <w:szCs w:val="28"/>
          <w:lang w:eastAsia="es-ES"/>
        </w:rPr>
        <w:t>N</w:t>
      </w:r>
      <w:bookmarkEnd w:id="87"/>
      <w:bookmarkEnd w:id="88"/>
    </w:p>
    <w:p w14:paraId="05CF0207" w14:textId="77777777" w:rsidR="0075402E" w:rsidRPr="0075402E" w:rsidRDefault="0075402E" w:rsidP="0075402E">
      <w:pPr>
        <w:spacing w:line="0" w:lineRule="atLeast"/>
        <w:rPr>
          <w:lang w:eastAsia="es-ES"/>
        </w:rPr>
      </w:pPr>
    </w:p>
    <w:p w14:paraId="718D8375" w14:textId="150FC0E7" w:rsidR="009D5726" w:rsidRDefault="00413BFD" w:rsidP="0075402E">
      <w:pPr>
        <w:spacing w:line="0" w:lineRule="atLeast"/>
        <w:contextualSpacing/>
        <w:jc w:val="both"/>
        <w:rPr>
          <w:rFonts w:ascii="Arial" w:hAnsi="Arial" w:cs="Arial"/>
        </w:rPr>
      </w:pPr>
      <w:bookmarkStart w:id="89" w:name="_Hlk90459376"/>
      <w:r>
        <w:rPr>
          <w:rFonts w:ascii="Arial" w:hAnsi="Arial" w:cs="Arial"/>
        </w:rPr>
        <w:t xml:space="preserve">El Ministerio de Hacienda </w:t>
      </w:r>
      <w:r w:rsidR="000777A0">
        <w:rPr>
          <w:rFonts w:ascii="Arial" w:hAnsi="Arial" w:cs="Arial"/>
        </w:rPr>
        <w:t xml:space="preserve">carece de </w:t>
      </w:r>
      <w:r>
        <w:rPr>
          <w:rFonts w:ascii="Arial" w:hAnsi="Arial" w:cs="Arial"/>
        </w:rPr>
        <w:t xml:space="preserve">controles específicos para el cumplimiento del decreto </w:t>
      </w:r>
      <w:r w:rsidRPr="00413BFD">
        <w:rPr>
          <w:rFonts w:ascii="Arial" w:hAnsi="Arial" w:cs="Arial"/>
        </w:rPr>
        <w:t>N° 40199-MP y demás normativa vinculada</w:t>
      </w:r>
      <w:r w:rsidR="0029600F">
        <w:rPr>
          <w:rFonts w:ascii="Arial" w:hAnsi="Arial" w:cs="Arial"/>
        </w:rPr>
        <w:t>, en ese sentido, e</w:t>
      </w:r>
      <w:r w:rsidR="0029600F" w:rsidRPr="0029600F">
        <w:rPr>
          <w:rFonts w:ascii="Arial" w:hAnsi="Arial" w:cs="Arial"/>
        </w:rPr>
        <w:t xml:space="preserve">l </w:t>
      </w:r>
      <w:r w:rsidR="00FB3FEA">
        <w:rPr>
          <w:rFonts w:ascii="Arial" w:hAnsi="Arial" w:cs="Arial"/>
        </w:rPr>
        <w:t>O</w:t>
      </w:r>
      <w:r w:rsidR="0029600F" w:rsidRPr="0029600F">
        <w:rPr>
          <w:rFonts w:ascii="Arial" w:hAnsi="Arial" w:cs="Arial"/>
        </w:rPr>
        <w:t xml:space="preserve">ficial de </w:t>
      </w:r>
      <w:r w:rsidR="00FB3FEA">
        <w:rPr>
          <w:rFonts w:ascii="Arial" w:hAnsi="Arial" w:cs="Arial"/>
        </w:rPr>
        <w:t>A</w:t>
      </w:r>
      <w:r w:rsidR="0029600F" w:rsidRPr="0029600F">
        <w:rPr>
          <w:rFonts w:ascii="Arial" w:hAnsi="Arial" w:cs="Arial"/>
        </w:rPr>
        <w:t xml:space="preserve">cceso a la </w:t>
      </w:r>
      <w:r w:rsidR="00FB3FEA">
        <w:rPr>
          <w:rFonts w:ascii="Arial" w:hAnsi="Arial" w:cs="Arial"/>
        </w:rPr>
        <w:t>I</w:t>
      </w:r>
      <w:r w:rsidR="0029600F" w:rsidRPr="0029600F">
        <w:rPr>
          <w:rFonts w:ascii="Arial" w:hAnsi="Arial" w:cs="Arial"/>
        </w:rPr>
        <w:t>nformación no está realizando la función de liderazgo del proceso de publicación de datos</w:t>
      </w:r>
      <w:r w:rsidR="009D5726">
        <w:rPr>
          <w:rFonts w:ascii="Arial" w:hAnsi="Arial" w:cs="Arial"/>
        </w:rPr>
        <w:t>, además,</w:t>
      </w:r>
      <w:r w:rsidR="002C4B7A">
        <w:rPr>
          <w:rFonts w:ascii="Arial" w:hAnsi="Arial" w:cs="Arial"/>
        </w:rPr>
        <w:t xml:space="preserve"> el Ministerio de Hacienda no tiene un marco de gobernanza del proceso de publicación de datos públicos que establezca sus principios, políticas y procedimientos por los cuales es dirigido y controlado.</w:t>
      </w:r>
    </w:p>
    <w:p w14:paraId="5CF91331" w14:textId="77777777" w:rsidR="009D5726" w:rsidRDefault="009D5726" w:rsidP="0075402E">
      <w:pPr>
        <w:spacing w:line="0" w:lineRule="atLeast"/>
        <w:contextualSpacing/>
        <w:jc w:val="both"/>
        <w:rPr>
          <w:rFonts w:ascii="Arial" w:hAnsi="Arial" w:cs="Arial"/>
        </w:rPr>
      </w:pPr>
    </w:p>
    <w:p w14:paraId="5A622A06" w14:textId="6562BAB7" w:rsidR="009D5726" w:rsidRDefault="002C4B7A" w:rsidP="0075402E">
      <w:pPr>
        <w:spacing w:line="0" w:lineRule="atLeast"/>
        <w:contextualSpacing/>
        <w:jc w:val="both"/>
        <w:rPr>
          <w:rFonts w:ascii="Arial" w:hAnsi="Arial" w:cs="Arial"/>
        </w:rPr>
      </w:pPr>
      <w:r>
        <w:rPr>
          <w:rFonts w:ascii="Arial" w:hAnsi="Arial" w:cs="Arial"/>
        </w:rPr>
        <w:t xml:space="preserve">Al respecto, Ministerio de Hacienda no tiene protocolos de </w:t>
      </w:r>
      <w:r w:rsidR="009D5726" w:rsidRPr="009D5726">
        <w:rPr>
          <w:rFonts w:ascii="Arial" w:hAnsi="Arial" w:cs="Arial"/>
        </w:rPr>
        <w:t>coordinación</w:t>
      </w:r>
      <w:r>
        <w:rPr>
          <w:rFonts w:ascii="Arial" w:hAnsi="Arial" w:cs="Arial"/>
        </w:rPr>
        <w:t xml:space="preserve"> y comunicación, ni ha definido los </w:t>
      </w:r>
      <w:r w:rsidR="009D5726" w:rsidRPr="009D5726">
        <w:rPr>
          <w:rFonts w:ascii="Arial" w:hAnsi="Arial" w:cs="Arial"/>
        </w:rPr>
        <w:t>criterios de valor, de privacidad y confidencialidad</w:t>
      </w:r>
      <w:r>
        <w:rPr>
          <w:rFonts w:ascii="Arial" w:hAnsi="Arial" w:cs="Arial"/>
        </w:rPr>
        <w:t xml:space="preserve"> de la información.</w:t>
      </w:r>
      <w:r w:rsidR="009D5726">
        <w:rPr>
          <w:rFonts w:ascii="Arial" w:hAnsi="Arial" w:cs="Arial"/>
        </w:rPr>
        <w:t xml:space="preserve"> </w:t>
      </w:r>
    </w:p>
    <w:p w14:paraId="17A1DADF" w14:textId="77777777" w:rsidR="004662D8" w:rsidRDefault="004662D8" w:rsidP="0075402E">
      <w:pPr>
        <w:spacing w:line="0" w:lineRule="atLeast"/>
        <w:contextualSpacing/>
        <w:jc w:val="both"/>
        <w:rPr>
          <w:rFonts w:ascii="Arial" w:hAnsi="Arial" w:cs="Arial"/>
        </w:rPr>
      </w:pPr>
    </w:p>
    <w:p w14:paraId="02F2FF40" w14:textId="77777777" w:rsidR="009D5726" w:rsidRDefault="009D5726" w:rsidP="0029600F">
      <w:pPr>
        <w:contextualSpacing/>
        <w:jc w:val="both"/>
        <w:rPr>
          <w:rFonts w:ascii="Arial" w:hAnsi="Arial" w:cs="Arial"/>
        </w:rPr>
      </w:pPr>
    </w:p>
    <w:p w14:paraId="3F36F046" w14:textId="77777777" w:rsidR="0055222A" w:rsidRPr="007A4F9E" w:rsidRDefault="0055222A" w:rsidP="006C7F40">
      <w:pPr>
        <w:pStyle w:val="Ttulo1"/>
        <w:keepNext w:val="0"/>
        <w:keepLines w:val="0"/>
        <w:numPr>
          <w:ilvl w:val="0"/>
          <w:numId w:val="17"/>
        </w:numPr>
        <w:spacing w:before="0" w:after="0"/>
        <w:ind w:left="360"/>
        <w:contextualSpacing/>
        <w:rPr>
          <w:rFonts w:ascii="Arial" w:hAnsi="Arial" w:cs="Arial"/>
          <w:b/>
          <w:bCs/>
          <w:color w:val="44546A" w:themeColor="text2"/>
          <w:kern w:val="28"/>
          <w:sz w:val="28"/>
          <w:szCs w:val="28"/>
          <w:lang w:eastAsia="es-ES"/>
        </w:rPr>
      </w:pPr>
      <w:bookmarkStart w:id="90" w:name="_Toc390783339"/>
      <w:bookmarkStart w:id="91" w:name="_Toc104793361"/>
      <w:bookmarkEnd w:id="89"/>
      <w:r w:rsidRPr="007A4F9E">
        <w:rPr>
          <w:rFonts w:ascii="Arial" w:hAnsi="Arial" w:cs="Arial"/>
          <w:b/>
          <w:bCs/>
          <w:color w:val="44546A" w:themeColor="text2"/>
          <w:kern w:val="28"/>
          <w:sz w:val="28"/>
          <w:szCs w:val="28"/>
          <w:lang w:eastAsia="es-ES"/>
        </w:rPr>
        <w:t>RECOMENDACIONES</w:t>
      </w:r>
      <w:bookmarkEnd w:id="90"/>
      <w:bookmarkEnd w:id="91"/>
    </w:p>
    <w:p w14:paraId="39AC85D9" w14:textId="7635EDB4" w:rsidR="00A136E4" w:rsidRDefault="00A136E4" w:rsidP="00F524F9">
      <w:pPr>
        <w:autoSpaceDE w:val="0"/>
        <w:autoSpaceDN w:val="0"/>
        <w:adjustRightInd w:val="0"/>
        <w:contextualSpacing/>
        <w:jc w:val="both"/>
        <w:rPr>
          <w:rFonts w:ascii="Arial" w:hAnsi="Arial" w:cs="Arial"/>
          <w:b/>
        </w:rPr>
      </w:pPr>
    </w:p>
    <w:p w14:paraId="0DBF4D82" w14:textId="77777777" w:rsidR="004662D8" w:rsidRDefault="004662D8" w:rsidP="00F524F9">
      <w:pPr>
        <w:autoSpaceDE w:val="0"/>
        <w:autoSpaceDN w:val="0"/>
        <w:adjustRightInd w:val="0"/>
        <w:contextualSpacing/>
        <w:jc w:val="both"/>
        <w:rPr>
          <w:rFonts w:ascii="Arial" w:hAnsi="Arial" w:cs="Arial"/>
          <w:b/>
          <w:color w:val="44546A" w:themeColor="text2"/>
          <w:sz w:val="28"/>
          <w:szCs w:val="28"/>
        </w:rPr>
      </w:pPr>
    </w:p>
    <w:p w14:paraId="0DED0137" w14:textId="105E53BE" w:rsidR="00EC1740" w:rsidRDefault="00EC1740" w:rsidP="00F524F9">
      <w:pPr>
        <w:autoSpaceDE w:val="0"/>
        <w:autoSpaceDN w:val="0"/>
        <w:adjustRightInd w:val="0"/>
        <w:contextualSpacing/>
        <w:jc w:val="both"/>
        <w:rPr>
          <w:rFonts w:ascii="Arial" w:hAnsi="Arial" w:cs="Arial"/>
          <w:b/>
          <w:color w:val="44546A" w:themeColor="text2"/>
          <w:sz w:val="28"/>
          <w:szCs w:val="28"/>
        </w:rPr>
      </w:pPr>
      <w:r w:rsidRPr="00EC1740">
        <w:rPr>
          <w:rFonts w:ascii="Arial" w:hAnsi="Arial" w:cs="Arial"/>
          <w:b/>
          <w:color w:val="44546A" w:themeColor="text2"/>
          <w:sz w:val="28"/>
          <w:szCs w:val="28"/>
        </w:rPr>
        <w:t>Al Ministro de Hacienda</w:t>
      </w:r>
    </w:p>
    <w:p w14:paraId="334D4775" w14:textId="36BB136B" w:rsidR="00EC1740" w:rsidRDefault="00EC1740" w:rsidP="00F524F9">
      <w:pPr>
        <w:autoSpaceDE w:val="0"/>
        <w:autoSpaceDN w:val="0"/>
        <w:adjustRightInd w:val="0"/>
        <w:contextualSpacing/>
        <w:jc w:val="both"/>
        <w:rPr>
          <w:rFonts w:ascii="Arial" w:hAnsi="Arial" w:cs="Arial"/>
          <w:b/>
        </w:rPr>
      </w:pPr>
    </w:p>
    <w:p w14:paraId="2A97AD33" w14:textId="68A662A3" w:rsidR="00552D74" w:rsidRPr="00552D74" w:rsidRDefault="001505D4" w:rsidP="00A23C23">
      <w:pPr>
        <w:pStyle w:val="Textocomentario"/>
        <w:numPr>
          <w:ilvl w:val="1"/>
          <w:numId w:val="17"/>
        </w:numPr>
        <w:spacing w:after="0"/>
        <w:ind w:left="0" w:firstLine="0"/>
        <w:contextualSpacing/>
        <w:jc w:val="both"/>
        <w:rPr>
          <w:rFonts w:ascii="Arial" w:eastAsiaTheme="minorHAnsi" w:hAnsi="Arial" w:cs="Arial"/>
          <w:color w:val="auto"/>
          <w:kern w:val="0"/>
          <w:sz w:val="22"/>
          <w:szCs w:val="24"/>
        </w:rPr>
      </w:pPr>
      <w:r>
        <w:rPr>
          <w:rFonts w:ascii="Arial" w:eastAsiaTheme="minorHAnsi" w:hAnsi="Arial" w:cs="Arial"/>
          <w:color w:val="auto"/>
          <w:kern w:val="0"/>
          <w:sz w:val="22"/>
          <w:szCs w:val="24"/>
        </w:rPr>
        <w:t xml:space="preserve">Oficializar y divulgar </w:t>
      </w:r>
      <w:r w:rsidR="00FE036B">
        <w:rPr>
          <w:rFonts w:ascii="Arial" w:eastAsiaTheme="minorHAnsi" w:hAnsi="Arial" w:cs="Arial"/>
          <w:color w:val="auto"/>
          <w:kern w:val="0"/>
          <w:sz w:val="22"/>
          <w:szCs w:val="24"/>
        </w:rPr>
        <w:t>el</w:t>
      </w:r>
      <w:r w:rsidR="00FE036B" w:rsidRPr="00552D74">
        <w:rPr>
          <w:rFonts w:ascii="Arial" w:eastAsiaTheme="minorHAnsi" w:hAnsi="Arial" w:cs="Arial"/>
          <w:color w:val="auto"/>
          <w:kern w:val="0"/>
          <w:sz w:val="22"/>
          <w:szCs w:val="24"/>
        </w:rPr>
        <w:t xml:space="preserve"> </w:t>
      </w:r>
      <w:r w:rsidR="00552D74" w:rsidRPr="00552D74">
        <w:rPr>
          <w:rFonts w:ascii="Arial" w:eastAsiaTheme="minorHAnsi" w:hAnsi="Arial" w:cs="Arial"/>
          <w:color w:val="auto"/>
          <w:kern w:val="0"/>
          <w:sz w:val="22"/>
          <w:szCs w:val="24"/>
        </w:rPr>
        <w:t xml:space="preserve">nombramiento y asignación de tareas formal al funcionario que fungirá como Oficial de Acceso a la </w:t>
      </w:r>
      <w:r w:rsidR="00EC1740">
        <w:rPr>
          <w:rFonts w:ascii="Arial" w:eastAsiaTheme="minorHAnsi" w:hAnsi="Arial" w:cs="Arial"/>
          <w:color w:val="auto"/>
          <w:kern w:val="0"/>
          <w:sz w:val="22"/>
          <w:szCs w:val="24"/>
        </w:rPr>
        <w:t>I</w:t>
      </w:r>
      <w:r w:rsidR="00552D74" w:rsidRPr="00552D74">
        <w:rPr>
          <w:rFonts w:ascii="Arial" w:eastAsiaTheme="minorHAnsi" w:hAnsi="Arial" w:cs="Arial"/>
          <w:color w:val="auto"/>
          <w:kern w:val="0"/>
          <w:sz w:val="22"/>
          <w:szCs w:val="24"/>
        </w:rPr>
        <w:t>nformación</w:t>
      </w:r>
      <w:r>
        <w:rPr>
          <w:rFonts w:ascii="Arial" w:eastAsiaTheme="minorHAnsi" w:hAnsi="Arial" w:cs="Arial"/>
          <w:color w:val="auto"/>
          <w:kern w:val="0"/>
          <w:sz w:val="22"/>
          <w:szCs w:val="24"/>
        </w:rPr>
        <w:t xml:space="preserve"> y del equipo multidisciplinario a nivel del Ministerio de Hacienda que estarán a cargo del proceso de apertura de datos públicos.</w:t>
      </w:r>
    </w:p>
    <w:p w14:paraId="17DC4F6D" w14:textId="77777777" w:rsidR="00552D74" w:rsidRPr="00552D74" w:rsidRDefault="00552D74" w:rsidP="00A23C23">
      <w:pPr>
        <w:pStyle w:val="Textocomentario"/>
        <w:spacing w:after="0"/>
        <w:contextualSpacing/>
        <w:jc w:val="both"/>
        <w:rPr>
          <w:rFonts w:ascii="Arial" w:eastAsiaTheme="minorHAnsi" w:hAnsi="Arial" w:cs="Arial"/>
          <w:color w:val="auto"/>
          <w:kern w:val="0"/>
          <w:sz w:val="22"/>
          <w:szCs w:val="24"/>
        </w:rPr>
      </w:pPr>
    </w:p>
    <w:p w14:paraId="79DFD087" w14:textId="37564F11" w:rsidR="00552D74" w:rsidRDefault="00552D74" w:rsidP="00A23C23">
      <w:pPr>
        <w:pStyle w:val="Textocomentario"/>
        <w:spacing w:after="0"/>
        <w:contextualSpacing/>
        <w:jc w:val="both"/>
        <w:rPr>
          <w:rFonts w:ascii="Arial" w:eastAsiaTheme="minorHAnsi" w:hAnsi="Arial" w:cs="Arial"/>
          <w:color w:val="auto"/>
          <w:kern w:val="0"/>
          <w:sz w:val="22"/>
          <w:szCs w:val="24"/>
        </w:rPr>
      </w:pPr>
      <w:r w:rsidRPr="00552D74">
        <w:rPr>
          <w:rFonts w:ascii="Arial" w:eastAsiaTheme="minorHAnsi" w:hAnsi="Arial" w:cs="Arial"/>
          <w:color w:val="auto"/>
          <w:kern w:val="0"/>
          <w:sz w:val="22"/>
          <w:szCs w:val="24"/>
        </w:rPr>
        <w:t xml:space="preserve">Para acreditar su cumplimiento se debe remitir a más tardar el </w:t>
      </w:r>
      <w:r w:rsidRPr="002F234E">
        <w:rPr>
          <w:rFonts w:ascii="Arial" w:eastAsiaTheme="minorHAnsi" w:hAnsi="Arial" w:cs="Arial"/>
          <w:color w:val="auto"/>
          <w:kern w:val="0"/>
          <w:sz w:val="22"/>
          <w:szCs w:val="24"/>
        </w:rPr>
        <w:t>3</w:t>
      </w:r>
      <w:r w:rsidR="00F64A7E">
        <w:rPr>
          <w:rFonts w:ascii="Arial" w:eastAsiaTheme="minorHAnsi" w:hAnsi="Arial" w:cs="Arial"/>
          <w:color w:val="auto"/>
          <w:kern w:val="0"/>
          <w:sz w:val="22"/>
          <w:szCs w:val="24"/>
        </w:rPr>
        <w:t>1</w:t>
      </w:r>
      <w:r w:rsidRPr="002F234E">
        <w:rPr>
          <w:rFonts w:ascii="Arial" w:eastAsiaTheme="minorHAnsi" w:hAnsi="Arial" w:cs="Arial"/>
          <w:color w:val="auto"/>
          <w:kern w:val="0"/>
          <w:sz w:val="22"/>
          <w:szCs w:val="24"/>
        </w:rPr>
        <w:t xml:space="preserve"> de </w:t>
      </w:r>
      <w:r w:rsidR="00F64A7E">
        <w:rPr>
          <w:rFonts w:ascii="Arial" w:eastAsiaTheme="minorHAnsi" w:hAnsi="Arial" w:cs="Arial"/>
          <w:color w:val="auto"/>
          <w:kern w:val="0"/>
          <w:sz w:val="22"/>
          <w:szCs w:val="24"/>
        </w:rPr>
        <w:t>agosto</w:t>
      </w:r>
      <w:r w:rsidRPr="002F234E">
        <w:rPr>
          <w:rFonts w:ascii="Arial" w:eastAsiaTheme="minorHAnsi" w:hAnsi="Arial" w:cs="Arial"/>
          <w:color w:val="auto"/>
          <w:kern w:val="0"/>
          <w:sz w:val="22"/>
          <w:szCs w:val="24"/>
        </w:rPr>
        <w:t xml:space="preserve"> del 2022</w:t>
      </w:r>
      <w:r w:rsidRPr="00552D74">
        <w:rPr>
          <w:rFonts w:ascii="Arial" w:eastAsiaTheme="minorHAnsi" w:hAnsi="Arial" w:cs="Arial"/>
          <w:color w:val="auto"/>
          <w:kern w:val="0"/>
          <w:sz w:val="22"/>
          <w:szCs w:val="24"/>
        </w:rPr>
        <w:t xml:space="preserve"> a la Auditoría Interna una certificación en donde se acredite el cumplimiento de la recomendación y la evidencia respectiva</w:t>
      </w:r>
      <w:r>
        <w:rPr>
          <w:rFonts w:ascii="Arial" w:eastAsiaTheme="minorHAnsi" w:hAnsi="Arial" w:cs="Arial"/>
          <w:color w:val="auto"/>
          <w:kern w:val="0"/>
          <w:sz w:val="22"/>
          <w:szCs w:val="24"/>
        </w:rPr>
        <w:t>.</w:t>
      </w:r>
      <w:r w:rsidR="0013005E" w:rsidRPr="0013005E">
        <w:t xml:space="preserve"> </w:t>
      </w:r>
      <w:r w:rsidR="0013005E" w:rsidRPr="0013005E">
        <w:rPr>
          <w:rFonts w:ascii="Arial" w:eastAsiaTheme="minorHAnsi" w:hAnsi="Arial" w:cs="Arial"/>
          <w:color w:val="auto"/>
          <w:kern w:val="0"/>
          <w:sz w:val="22"/>
          <w:szCs w:val="24"/>
        </w:rPr>
        <w:t xml:space="preserve">Ver </w:t>
      </w:r>
      <w:r w:rsidR="0013005E">
        <w:rPr>
          <w:rFonts w:ascii="Arial" w:eastAsiaTheme="minorHAnsi" w:hAnsi="Arial" w:cs="Arial"/>
          <w:color w:val="auto"/>
          <w:kern w:val="0"/>
          <w:sz w:val="22"/>
          <w:szCs w:val="24"/>
        </w:rPr>
        <w:t>apartado</w:t>
      </w:r>
      <w:r w:rsidR="0013005E" w:rsidRPr="0013005E">
        <w:rPr>
          <w:rFonts w:ascii="Arial" w:eastAsiaTheme="minorHAnsi" w:hAnsi="Arial" w:cs="Arial"/>
          <w:color w:val="auto"/>
          <w:kern w:val="0"/>
          <w:sz w:val="22"/>
          <w:szCs w:val="24"/>
        </w:rPr>
        <w:t xml:space="preserve"> 2.</w:t>
      </w:r>
      <w:r w:rsidR="0013005E">
        <w:rPr>
          <w:rFonts w:ascii="Arial" w:eastAsiaTheme="minorHAnsi" w:hAnsi="Arial" w:cs="Arial"/>
          <w:color w:val="auto"/>
          <w:kern w:val="0"/>
          <w:sz w:val="22"/>
          <w:szCs w:val="24"/>
        </w:rPr>
        <w:t>1</w:t>
      </w:r>
      <w:r w:rsidR="0013005E" w:rsidRPr="0013005E">
        <w:rPr>
          <w:rFonts w:ascii="Arial" w:eastAsiaTheme="minorHAnsi" w:hAnsi="Arial" w:cs="Arial"/>
          <w:color w:val="auto"/>
          <w:kern w:val="0"/>
          <w:sz w:val="22"/>
          <w:szCs w:val="24"/>
        </w:rPr>
        <w:t xml:space="preserve"> </w:t>
      </w:r>
      <w:r w:rsidR="001505D4">
        <w:rPr>
          <w:rFonts w:ascii="Arial" w:eastAsiaTheme="minorHAnsi" w:hAnsi="Arial" w:cs="Arial"/>
          <w:color w:val="auto"/>
          <w:kern w:val="0"/>
          <w:sz w:val="22"/>
          <w:szCs w:val="24"/>
        </w:rPr>
        <w:t xml:space="preserve">y 2.2 </w:t>
      </w:r>
      <w:r w:rsidR="0013005E" w:rsidRPr="0013005E">
        <w:rPr>
          <w:rFonts w:ascii="Arial" w:eastAsiaTheme="minorHAnsi" w:hAnsi="Arial" w:cs="Arial"/>
          <w:color w:val="auto"/>
          <w:kern w:val="0"/>
          <w:sz w:val="22"/>
          <w:szCs w:val="24"/>
        </w:rPr>
        <w:t>del presente informe.</w:t>
      </w:r>
    </w:p>
    <w:p w14:paraId="0523FF8B" w14:textId="77777777" w:rsidR="004662D8" w:rsidRDefault="004662D8" w:rsidP="00A23C23">
      <w:pPr>
        <w:pStyle w:val="Textocomentario"/>
        <w:spacing w:after="0"/>
        <w:contextualSpacing/>
        <w:jc w:val="both"/>
        <w:rPr>
          <w:rFonts w:ascii="Arial" w:eastAsiaTheme="minorHAnsi" w:hAnsi="Arial" w:cs="Arial"/>
          <w:color w:val="auto"/>
          <w:kern w:val="0"/>
          <w:sz w:val="22"/>
          <w:szCs w:val="24"/>
        </w:rPr>
      </w:pPr>
    </w:p>
    <w:p w14:paraId="1A4FB345" w14:textId="77777777" w:rsidR="0075402E" w:rsidRDefault="0075402E" w:rsidP="00552D74">
      <w:pPr>
        <w:pStyle w:val="Textocomentario"/>
        <w:spacing w:after="0"/>
        <w:ind w:left="360"/>
        <w:contextualSpacing/>
        <w:jc w:val="both"/>
        <w:rPr>
          <w:rFonts w:ascii="Arial" w:eastAsiaTheme="minorHAnsi" w:hAnsi="Arial" w:cs="Arial"/>
          <w:color w:val="auto"/>
          <w:kern w:val="0"/>
          <w:sz w:val="22"/>
          <w:szCs w:val="24"/>
        </w:rPr>
      </w:pPr>
    </w:p>
    <w:p w14:paraId="23CF4B79" w14:textId="3113B093" w:rsidR="002C4B7A" w:rsidRDefault="007A16F8" w:rsidP="00A23C23">
      <w:pPr>
        <w:pStyle w:val="Textocomentario"/>
        <w:numPr>
          <w:ilvl w:val="1"/>
          <w:numId w:val="17"/>
        </w:numPr>
        <w:spacing w:after="0"/>
        <w:ind w:left="0" w:firstLine="0"/>
        <w:contextualSpacing/>
        <w:jc w:val="both"/>
        <w:rPr>
          <w:rFonts w:ascii="Arial" w:eastAsiaTheme="minorHAnsi" w:hAnsi="Arial" w:cs="Arial"/>
          <w:color w:val="auto"/>
          <w:kern w:val="0"/>
          <w:sz w:val="22"/>
          <w:szCs w:val="24"/>
        </w:rPr>
      </w:pPr>
      <w:r>
        <w:rPr>
          <w:rFonts w:ascii="Arial" w:eastAsiaTheme="minorHAnsi" w:hAnsi="Arial" w:cs="Arial"/>
          <w:color w:val="auto"/>
          <w:kern w:val="0"/>
          <w:sz w:val="22"/>
          <w:szCs w:val="24"/>
        </w:rPr>
        <w:t xml:space="preserve">Definir, oficializar y divulgar un plan de acción </w:t>
      </w:r>
      <w:r w:rsidR="00171288">
        <w:rPr>
          <w:rFonts w:ascii="Arial" w:eastAsiaTheme="minorHAnsi" w:hAnsi="Arial" w:cs="Arial"/>
          <w:color w:val="auto"/>
          <w:kern w:val="0"/>
          <w:sz w:val="22"/>
          <w:szCs w:val="24"/>
        </w:rPr>
        <w:t>para el establecimiento d</w:t>
      </w:r>
      <w:r w:rsidR="00F52FC4">
        <w:rPr>
          <w:rFonts w:ascii="Arial" w:eastAsiaTheme="minorHAnsi" w:hAnsi="Arial" w:cs="Arial"/>
          <w:color w:val="auto"/>
          <w:kern w:val="0"/>
          <w:sz w:val="22"/>
          <w:szCs w:val="24"/>
        </w:rPr>
        <w:t>el marco de</w:t>
      </w:r>
      <w:r>
        <w:rPr>
          <w:rFonts w:ascii="Arial" w:eastAsiaTheme="minorHAnsi" w:hAnsi="Arial" w:cs="Arial"/>
          <w:color w:val="auto"/>
          <w:kern w:val="0"/>
          <w:sz w:val="22"/>
          <w:szCs w:val="24"/>
        </w:rPr>
        <w:t xml:space="preserve"> gobernanza del proceso de apertura de datos públic</w:t>
      </w:r>
      <w:r w:rsidR="00383B7C">
        <w:rPr>
          <w:rFonts w:ascii="Arial" w:eastAsiaTheme="minorHAnsi" w:hAnsi="Arial" w:cs="Arial"/>
          <w:color w:val="auto"/>
          <w:kern w:val="0"/>
          <w:sz w:val="22"/>
          <w:szCs w:val="24"/>
        </w:rPr>
        <w:t xml:space="preserve">os, </w:t>
      </w:r>
      <w:r w:rsidR="00171288">
        <w:rPr>
          <w:rFonts w:ascii="Arial" w:eastAsiaTheme="minorHAnsi" w:hAnsi="Arial" w:cs="Arial"/>
          <w:color w:val="auto"/>
          <w:kern w:val="0"/>
          <w:sz w:val="22"/>
          <w:szCs w:val="24"/>
        </w:rPr>
        <w:t xml:space="preserve">el cual debe </w:t>
      </w:r>
      <w:r w:rsidR="00F52FC4">
        <w:rPr>
          <w:rFonts w:ascii="Arial" w:eastAsiaTheme="minorHAnsi" w:hAnsi="Arial" w:cs="Arial"/>
          <w:color w:val="auto"/>
          <w:kern w:val="0"/>
          <w:sz w:val="22"/>
          <w:szCs w:val="24"/>
        </w:rPr>
        <w:t>contempl</w:t>
      </w:r>
      <w:r w:rsidR="00171288">
        <w:rPr>
          <w:rFonts w:ascii="Arial" w:eastAsiaTheme="minorHAnsi" w:hAnsi="Arial" w:cs="Arial"/>
          <w:color w:val="auto"/>
          <w:kern w:val="0"/>
          <w:sz w:val="22"/>
          <w:szCs w:val="24"/>
        </w:rPr>
        <w:t xml:space="preserve">ar </w:t>
      </w:r>
      <w:r w:rsidR="002C4B7A">
        <w:rPr>
          <w:rFonts w:ascii="Arial" w:eastAsiaTheme="minorHAnsi" w:hAnsi="Arial" w:cs="Arial"/>
          <w:color w:val="auto"/>
          <w:kern w:val="0"/>
          <w:sz w:val="22"/>
          <w:szCs w:val="24"/>
        </w:rPr>
        <w:t xml:space="preserve">los </w:t>
      </w:r>
      <w:r w:rsidR="00F52FC4">
        <w:rPr>
          <w:rFonts w:ascii="Arial" w:eastAsiaTheme="minorHAnsi" w:hAnsi="Arial" w:cs="Arial"/>
          <w:color w:val="auto"/>
          <w:kern w:val="0"/>
          <w:sz w:val="22"/>
          <w:szCs w:val="24"/>
        </w:rPr>
        <w:t>principios, políticas y procedimientos con los cuales será dirigid</w:t>
      </w:r>
      <w:r w:rsidR="002F234E">
        <w:rPr>
          <w:rFonts w:ascii="Arial" w:eastAsiaTheme="minorHAnsi" w:hAnsi="Arial" w:cs="Arial"/>
          <w:color w:val="auto"/>
          <w:kern w:val="0"/>
          <w:sz w:val="22"/>
          <w:szCs w:val="24"/>
        </w:rPr>
        <w:t>o</w:t>
      </w:r>
      <w:r w:rsidR="00F52FC4">
        <w:rPr>
          <w:rFonts w:ascii="Arial" w:eastAsiaTheme="minorHAnsi" w:hAnsi="Arial" w:cs="Arial"/>
          <w:color w:val="auto"/>
          <w:kern w:val="0"/>
          <w:sz w:val="22"/>
          <w:szCs w:val="24"/>
        </w:rPr>
        <w:t xml:space="preserve"> y controlad</w:t>
      </w:r>
      <w:r w:rsidR="002C4B7A">
        <w:rPr>
          <w:rFonts w:ascii="Arial" w:eastAsiaTheme="minorHAnsi" w:hAnsi="Arial" w:cs="Arial"/>
          <w:color w:val="auto"/>
          <w:kern w:val="0"/>
          <w:sz w:val="22"/>
          <w:szCs w:val="24"/>
        </w:rPr>
        <w:t>o</w:t>
      </w:r>
      <w:r w:rsidR="00383B7C">
        <w:rPr>
          <w:rFonts w:ascii="Arial" w:eastAsiaTheme="minorHAnsi" w:hAnsi="Arial" w:cs="Arial"/>
          <w:color w:val="auto"/>
          <w:kern w:val="0"/>
          <w:sz w:val="22"/>
          <w:szCs w:val="24"/>
        </w:rPr>
        <w:t>.</w:t>
      </w:r>
      <w:r>
        <w:rPr>
          <w:rFonts w:ascii="Arial" w:eastAsiaTheme="minorHAnsi" w:hAnsi="Arial" w:cs="Arial"/>
          <w:color w:val="auto"/>
          <w:kern w:val="0"/>
          <w:sz w:val="22"/>
          <w:szCs w:val="24"/>
        </w:rPr>
        <w:t xml:space="preserve"> </w:t>
      </w:r>
    </w:p>
    <w:p w14:paraId="28CD1871" w14:textId="2709EC5B" w:rsidR="002C4B7A" w:rsidRDefault="002C4B7A" w:rsidP="002C4B7A">
      <w:pPr>
        <w:pStyle w:val="Textocomentario"/>
        <w:spacing w:after="0"/>
        <w:contextualSpacing/>
        <w:jc w:val="both"/>
        <w:rPr>
          <w:rFonts w:ascii="Arial" w:eastAsiaTheme="minorHAnsi" w:hAnsi="Arial" w:cs="Arial"/>
          <w:color w:val="auto"/>
          <w:kern w:val="0"/>
          <w:sz w:val="22"/>
          <w:szCs w:val="24"/>
        </w:rPr>
      </w:pPr>
    </w:p>
    <w:p w14:paraId="42BD28F0" w14:textId="19E25280" w:rsidR="002C4B7A" w:rsidRDefault="002F234E" w:rsidP="002C4B7A">
      <w:pPr>
        <w:pStyle w:val="Textocomentario"/>
        <w:spacing w:after="0"/>
        <w:contextualSpacing/>
        <w:jc w:val="both"/>
        <w:rPr>
          <w:rFonts w:ascii="Arial" w:eastAsiaTheme="minorHAnsi" w:hAnsi="Arial" w:cs="Arial"/>
          <w:color w:val="auto"/>
          <w:kern w:val="0"/>
          <w:sz w:val="22"/>
          <w:szCs w:val="24"/>
        </w:rPr>
      </w:pPr>
      <w:r>
        <w:rPr>
          <w:rFonts w:ascii="Arial" w:eastAsiaTheme="minorHAnsi" w:hAnsi="Arial" w:cs="Arial"/>
          <w:color w:val="auto"/>
          <w:kern w:val="0"/>
          <w:sz w:val="22"/>
          <w:szCs w:val="24"/>
        </w:rPr>
        <w:t>Remitir a la Auditoría Interna a más tardar el 3</w:t>
      </w:r>
      <w:r w:rsidR="0049782B">
        <w:rPr>
          <w:rFonts w:ascii="Arial" w:eastAsiaTheme="minorHAnsi" w:hAnsi="Arial" w:cs="Arial"/>
          <w:color w:val="auto"/>
          <w:kern w:val="0"/>
          <w:sz w:val="22"/>
          <w:szCs w:val="24"/>
        </w:rPr>
        <w:t>1</w:t>
      </w:r>
      <w:r>
        <w:rPr>
          <w:rFonts w:ascii="Arial" w:eastAsiaTheme="minorHAnsi" w:hAnsi="Arial" w:cs="Arial"/>
          <w:color w:val="auto"/>
          <w:kern w:val="0"/>
          <w:sz w:val="22"/>
          <w:szCs w:val="24"/>
        </w:rPr>
        <w:t xml:space="preserve"> de </w:t>
      </w:r>
      <w:r w:rsidR="0049782B">
        <w:rPr>
          <w:rFonts w:ascii="Arial" w:eastAsiaTheme="minorHAnsi" w:hAnsi="Arial" w:cs="Arial"/>
          <w:color w:val="auto"/>
          <w:kern w:val="0"/>
          <w:sz w:val="22"/>
          <w:szCs w:val="24"/>
        </w:rPr>
        <w:t>agosto</w:t>
      </w:r>
      <w:r>
        <w:rPr>
          <w:rFonts w:ascii="Arial" w:eastAsiaTheme="minorHAnsi" w:hAnsi="Arial" w:cs="Arial"/>
          <w:color w:val="auto"/>
          <w:kern w:val="0"/>
          <w:sz w:val="22"/>
          <w:szCs w:val="24"/>
        </w:rPr>
        <w:t xml:space="preserve"> del 2022 una certificación en donde se acredite el plan de acción con responsables, entregables y sus fechas de cumplimiento para la implementación de esta recomendación. Adicionalmente, se requiere remitir un informe sobre el avance de la implementación de dicho plan al </w:t>
      </w:r>
      <w:r w:rsidR="007507EC">
        <w:rPr>
          <w:rFonts w:ascii="Arial" w:eastAsiaTheme="minorHAnsi" w:hAnsi="Arial" w:cs="Arial"/>
          <w:color w:val="auto"/>
          <w:kern w:val="0"/>
          <w:sz w:val="22"/>
          <w:szCs w:val="24"/>
        </w:rPr>
        <w:t>28</w:t>
      </w:r>
      <w:r>
        <w:rPr>
          <w:rFonts w:ascii="Arial" w:eastAsiaTheme="minorHAnsi" w:hAnsi="Arial" w:cs="Arial"/>
          <w:color w:val="auto"/>
          <w:kern w:val="0"/>
          <w:sz w:val="22"/>
          <w:szCs w:val="24"/>
        </w:rPr>
        <w:t xml:space="preserve"> </w:t>
      </w:r>
      <w:r w:rsidR="007507EC">
        <w:rPr>
          <w:rFonts w:ascii="Arial" w:eastAsiaTheme="minorHAnsi" w:hAnsi="Arial" w:cs="Arial"/>
          <w:color w:val="auto"/>
          <w:kern w:val="0"/>
          <w:sz w:val="22"/>
          <w:szCs w:val="24"/>
        </w:rPr>
        <w:t>de octubre</w:t>
      </w:r>
      <w:r>
        <w:rPr>
          <w:rFonts w:ascii="Arial" w:eastAsiaTheme="minorHAnsi" w:hAnsi="Arial" w:cs="Arial"/>
          <w:color w:val="auto"/>
          <w:kern w:val="0"/>
          <w:sz w:val="22"/>
          <w:szCs w:val="24"/>
        </w:rPr>
        <w:t xml:space="preserve"> del 2022, y al 31 de </w:t>
      </w:r>
      <w:r w:rsidR="007507EC">
        <w:rPr>
          <w:rFonts w:ascii="Arial" w:eastAsiaTheme="minorHAnsi" w:hAnsi="Arial" w:cs="Arial"/>
          <w:color w:val="auto"/>
          <w:kern w:val="0"/>
          <w:sz w:val="22"/>
          <w:szCs w:val="24"/>
        </w:rPr>
        <w:t>diciembre</w:t>
      </w:r>
      <w:r>
        <w:rPr>
          <w:rFonts w:ascii="Arial" w:eastAsiaTheme="minorHAnsi" w:hAnsi="Arial" w:cs="Arial"/>
          <w:color w:val="auto"/>
          <w:kern w:val="0"/>
          <w:sz w:val="22"/>
          <w:szCs w:val="24"/>
        </w:rPr>
        <w:t xml:space="preserve"> del 202</w:t>
      </w:r>
      <w:r w:rsidR="007507EC">
        <w:rPr>
          <w:rFonts w:ascii="Arial" w:eastAsiaTheme="minorHAnsi" w:hAnsi="Arial" w:cs="Arial"/>
          <w:color w:val="auto"/>
          <w:kern w:val="0"/>
          <w:sz w:val="22"/>
          <w:szCs w:val="24"/>
        </w:rPr>
        <w:t>2</w:t>
      </w:r>
      <w:r>
        <w:rPr>
          <w:rFonts w:ascii="Arial" w:eastAsiaTheme="minorHAnsi" w:hAnsi="Arial" w:cs="Arial"/>
          <w:color w:val="auto"/>
          <w:kern w:val="0"/>
          <w:sz w:val="22"/>
          <w:szCs w:val="24"/>
        </w:rPr>
        <w:t xml:space="preserve"> remitir a la Auditoría Interna un informe final del cumplimiento de la recomendación. Ver apartado 2.2  </w:t>
      </w:r>
    </w:p>
    <w:p w14:paraId="623E1DFE" w14:textId="77777777" w:rsidR="004A562F" w:rsidRDefault="004A562F" w:rsidP="002C4B7A">
      <w:pPr>
        <w:pStyle w:val="Textocomentario"/>
        <w:spacing w:after="0"/>
        <w:contextualSpacing/>
        <w:jc w:val="both"/>
        <w:rPr>
          <w:rFonts w:ascii="Arial" w:eastAsiaTheme="minorHAnsi" w:hAnsi="Arial" w:cs="Arial"/>
          <w:color w:val="auto"/>
          <w:kern w:val="0"/>
          <w:sz w:val="22"/>
          <w:szCs w:val="24"/>
        </w:rPr>
      </w:pPr>
    </w:p>
    <w:p w14:paraId="6B9B1CFE" w14:textId="234FB79E" w:rsidR="0055222A" w:rsidRPr="002F234E" w:rsidRDefault="0055222A" w:rsidP="002F234E">
      <w:pPr>
        <w:jc w:val="both"/>
        <w:rPr>
          <w:rFonts w:ascii="Arial" w:hAnsi="Arial" w:cs="Arial"/>
        </w:rPr>
      </w:pPr>
      <w:r w:rsidRPr="002F234E">
        <w:rPr>
          <w:rFonts w:ascii="Arial" w:hAnsi="Arial" w:cs="Arial"/>
        </w:rPr>
        <w:t>Con base en lo anterior, se le solicita proceder conforme lo dispone el artículo 3</w:t>
      </w:r>
      <w:r w:rsidR="002456DE">
        <w:rPr>
          <w:rFonts w:ascii="Arial" w:hAnsi="Arial" w:cs="Arial"/>
        </w:rPr>
        <w:t>7</w:t>
      </w:r>
      <w:r w:rsidRPr="002F234E">
        <w:rPr>
          <w:rFonts w:ascii="Arial" w:hAnsi="Arial" w:cs="Arial"/>
        </w:rPr>
        <w:t xml:space="preserve"> de la Ley 8292 Ley General de Control Interno y la aplicación del Manual para la atención de informes de la Contraloría General de la República y de la Auditoría Interna, comunicando </w:t>
      </w:r>
      <w:r w:rsidRPr="002F234E">
        <w:rPr>
          <w:rFonts w:ascii="Arial" w:hAnsi="Arial" w:cs="Arial"/>
        </w:rPr>
        <w:lastRenderedPageBreak/>
        <w:t xml:space="preserve">a esta Dirección las decisiones que se tomen respecto al presente informe, dentro del plazo de </w:t>
      </w:r>
      <w:r w:rsidR="002456DE" w:rsidRPr="002456DE">
        <w:rPr>
          <w:rFonts w:ascii="Arial" w:hAnsi="Arial" w:cs="Arial"/>
        </w:rPr>
        <w:t>30</w:t>
      </w:r>
      <w:r w:rsidRPr="002456DE">
        <w:rPr>
          <w:rFonts w:ascii="Arial" w:hAnsi="Arial" w:cs="Arial"/>
        </w:rPr>
        <w:t xml:space="preserve"> días hábiles</w:t>
      </w:r>
      <w:r w:rsidRPr="002F234E">
        <w:rPr>
          <w:rFonts w:ascii="Arial" w:hAnsi="Arial" w:cs="Arial"/>
        </w:rPr>
        <w:t xml:space="preserve"> establecido en el citado artículo</w:t>
      </w:r>
      <w:r w:rsidR="002456DE">
        <w:rPr>
          <w:rFonts w:ascii="Arial" w:hAnsi="Arial" w:cs="Arial"/>
        </w:rPr>
        <w:t>.</w:t>
      </w:r>
      <w:r w:rsidRPr="002F234E">
        <w:rPr>
          <w:rFonts w:ascii="Arial" w:hAnsi="Arial" w:cs="Arial"/>
        </w:rPr>
        <w:t xml:space="preserve"> </w:t>
      </w:r>
    </w:p>
    <w:p w14:paraId="38B4271F" w14:textId="2AFE5C98" w:rsidR="00100099" w:rsidRDefault="00100099">
      <w:pPr>
        <w:ind w:right="22"/>
        <w:contextualSpacing/>
        <w:jc w:val="both"/>
        <w:rPr>
          <w:rFonts w:ascii="Arial" w:hAnsi="Arial" w:cs="Arial"/>
          <w:sz w:val="24"/>
          <w:szCs w:val="24"/>
        </w:rPr>
      </w:pPr>
    </w:p>
    <w:p w14:paraId="7B32EDE2" w14:textId="77777777" w:rsidR="00000B34" w:rsidRDefault="00000B34">
      <w:pPr>
        <w:ind w:right="22"/>
        <w:contextualSpacing/>
        <w:jc w:val="both"/>
        <w:rPr>
          <w:rFonts w:ascii="Arial" w:hAnsi="Arial" w:cs="Arial"/>
          <w:sz w:val="24"/>
          <w:szCs w:val="24"/>
        </w:rPr>
      </w:pPr>
    </w:p>
    <w:p w14:paraId="3F57111C" w14:textId="0A3835B8" w:rsidR="0049782B" w:rsidRDefault="0049782B">
      <w:pPr>
        <w:ind w:right="22"/>
        <w:contextualSpacing/>
        <w:jc w:val="both"/>
        <w:rPr>
          <w:rFonts w:ascii="Arial" w:hAnsi="Arial" w:cs="Arial"/>
          <w:sz w:val="24"/>
          <w:szCs w:val="24"/>
        </w:rPr>
      </w:pPr>
    </w:p>
    <w:p w14:paraId="519D6048" w14:textId="77777777" w:rsidR="0055222A" w:rsidRPr="0043627B" w:rsidRDefault="0055222A">
      <w:pPr>
        <w:ind w:right="22"/>
        <w:contextualSpacing/>
        <w:jc w:val="both"/>
        <w:rPr>
          <w:rFonts w:ascii="Arial" w:hAnsi="Arial" w:cs="Arial"/>
          <w:sz w:val="24"/>
          <w:szCs w:val="24"/>
        </w:rPr>
      </w:pPr>
    </w:p>
    <w:p w14:paraId="1D839023" w14:textId="77777777" w:rsidR="0055222A" w:rsidRPr="00B85B62" w:rsidRDefault="004A01AA">
      <w:pPr>
        <w:ind w:right="23"/>
        <w:contextualSpacing/>
        <w:jc w:val="center"/>
        <w:rPr>
          <w:rFonts w:ascii="Arial" w:hAnsi="Arial" w:cs="Arial"/>
        </w:rPr>
      </w:pPr>
      <w:r w:rsidRPr="00B85B62">
        <w:rPr>
          <w:rFonts w:ascii="Arial" w:hAnsi="Arial" w:cs="Arial"/>
        </w:rPr>
        <w:t>Ronald Fernández Romero</w:t>
      </w:r>
    </w:p>
    <w:p w14:paraId="5B3D615C" w14:textId="77777777" w:rsidR="0055222A" w:rsidRPr="00B85B62" w:rsidRDefault="0055222A">
      <w:pPr>
        <w:ind w:right="23"/>
        <w:contextualSpacing/>
        <w:jc w:val="center"/>
        <w:rPr>
          <w:rFonts w:ascii="Arial" w:hAnsi="Arial" w:cs="Arial"/>
          <w:b/>
          <w:bCs/>
        </w:rPr>
      </w:pPr>
      <w:r w:rsidRPr="00B85B62">
        <w:rPr>
          <w:rFonts w:ascii="Arial" w:hAnsi="Arial" w:cs="Arial"/>
          <w:b/>
          <w:bCs/>
        </w:rPr>
        <w:t>Directo</w:t>
      </w:r>
      <w:r w:rsidR="009D2D99" w:rsidRPr="00B85B62">
        <w:rPr>
          <w:rFonts w:ascii="Arial" w:hAnsi="Arial" w:cs="Arial"/>
          <w:b/>
          <w:bCs/>
        </w:rPr>
        <w:t>r</w:t>
      </w:r>
      <w:r w:rsidRPr="00B85B62">
        <w:rPr>
          <w:rFonts w:ascii="Arial" w:hAnsi="Arial" w:cs="Arial"/>
          <w:b/>
          <w:bCs/>
        </w:rPr>
        <w:t xml:space="preserve"> de Auditoria Interna</w:t>
      </w:r>
    </w:p>
    <w:p w14:paraId="5CCCEDAC" w14:textId="77777777" w:rsidR="0055222A" w:rsidRPr="00B85B62" w:rsidRDefault="0055222A">
      <w:pPr>
        <w:ind w:right="22"/>
        <w:contextualSpacing/>
        <w:jc w:val="center"/>
        <w:rPr>
          <w:rFonts w:ascii="Arial" w:hAnsi="Arial" w:cs="Arial"/>
        </w:rPr>
      </w:pPr>
      <w:r w:rsidRPr="00B85B62">
        <w:rPr>
          <w:rFonts w:ascii="Arial" w:hAnsi="Arial" w:cs="Arial"/>
          <w:b/>
          <w:bCs/>
        </w:rPr>
        <w:t>Ministerio de Hacienda</w:t>
      </w:r>
    </w:p>
    <w:p w14:paraId="277A40FF" w14:textId="613030DB" w:rsidR="00E44C76" w:rsidRDefault="00E44C76" w:rsidP="00E44C76">
      <w:pPr>
        <w:rPr>
          <w:rFonts w:ascii="Arial" w:hAnsi="Arial" w:cs="Arial"/>
        </w:rPr>
      </w:pPr>
    </w:p>
    <w:p w14:paraId="24F107C2" w14:textId="6BDCFFEB" w:rsidR="0049782B" w:rsidRDefault="0049782B" w:rsidP="00E44C76">
      <w:pPr>
        <w:rPr>
          <w:rFonts w:ascii="Arial" w:hAnsi="Arial" w:cs="Arial"/>
        </w:rPr>
      </w:pPr>
    </w:p>
    <w:p w14:paraId="1852CE4A" w14:textId="3BC0A05C" w:rsidR="00000B34" w:rsidRDefault="00000B34" w:rsidP="00E44C76">
      <w:pPr>
        <w:rPr>
          <w:rFonts w:ascii="Arial" w:hAnsi="Arial" w:cs="Arial"/>
        </w:rPr>
      </w:pPr>
    </w:p>
    <w:p w14:paraId="67D4BB17" w14:textId="77777777" w:rsidR="00000B34" w:rsidRDefault="00000B34" w:rsidP="00E44C76">
      <w:pPr>
        <w:rPr>
          <w:rFonts w:ascii="Arial" w:hAnsi="Arial" w:cs="Arial"/>
        </w:rPr>
      </w:pPr>
    </w:p>
    <w:p w14:paraId="10699770" w14:textId="77777777" w:rsidR="00AB57A5" w:rsidRDefault="00AB57A5" w:rsidP="00E44C76">
      <w:pPr>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tblGrid>
      <w:tr w:rsidR="0049782B" w:rsidRPr="00610FD6" w14:paraId="210BBEFE" w14:textId="77777777" w:rsidTr="00F34890">
        <w:trPr>
          <w:jc w:val="center"/>
        </w:trPr>
        <w:tc>
          <w:tcPr>
            <w:tcW w:w="3539" w:type="dxa"/>
            <w:vAlign w:val="center"/>
          </w:tcPr>
          <w:p w14:paraId="57E45524" w14:textId="18CF8707" w:rsidR="0049782B" w:rsidRPr="00610FD6" w:rsidRDefault="0049782B" w:rsidP="00F34890">
            <w:pPr>
              <w:spacing w:before="100" w:beforeAutospacing="1" w:after="100" w:afterAutospacing="1"/>
              <w:ind w:right="22"/>
              <w:contextualSpacing/>
              <w:jc w:val="center"/>
              <w:rPr>
                <w:rFonts w:ascii="Arial" w:hAnsi="Arial" w:cs="Arial"/>
                <w:sz w:val="20"/>
                <w:szCs w:val="20"/>
              </w:rPr>
            </w:pPr>
            <w:r>
              <w:rPr>
                <w:rFonts w:ascii="Arial" w:hAnsi="Arial" w:cs="Arial"/>
                <w:sz w:val="20"/>
                <w:szCs w:val="20"/>
              </w:rPr>
              <w:t>Natalia Villalobos Quesada</w:t>
            </w:r>
          </w:p>
          <w:p w14:paraId="6DA33AF7" w14:textId="2751495C" w:rsidR="0049782B" w:rsidRPr="00610FD6" w:rsidRDefault="0049782B" w:rsidP="00F34890">
            <w:pPr>
              <w:spacing w:before="100" w:beforeAutospacing="1" w:after="100" w:afterAutospacing="1"/>
              <w:ind w:right="22"/>
              <w:contextualSpacing/>
              <w:jc w:val="center"/>
              <w:rPr>
                <w:rFonts w:ascii="Arial" w:hAnsi="Arial" w:cs="Arial"/>
                <w:b/>
                <w:sz w:val="20"/>
                <w:szCs w:val="20"/>
              </w:rPr>
            </w:pPr>
            <w:r>
              <w:rPr>
                <w:rFonts w:ascii="Arial" w:hAnsi="Arial" w:cs="Arial"/>
                <w:b/>
                <w:sz w:val="20"/>
                <w:szCs w:val="20"/>
              </w:rPr>
              <w:t>Auditora Encargada</w:t>
            </w:r>
          </w:p>
          <w:p w14:paraId="2A19FD5C" w14:textId="77777777" w:rsidR="0049782B" w:rsidRPr="00610FD6" w:rsidRDefault="0049782B" w:rsidP="00F34890">
            <w:pPr>
              <w:spacing w:before="100" w:beforeAutospacing="1" w:after="100" w:afterAutospacing="1"/>
              <w:ind w:right="22"/>
              <w:contextualSpacing/>
              <w:jc w:val="center"/>
              <w:rPr>
                <w:rFonts w:ascii="Arial" w:hAnsi="Arial" w:cs="Arial"/>
                <w:sz w:val="20"/>
                <w:szCs w:val="20"/>
              </w:rPr>
            </w:pPr>
            <w:r w:rsidRPr="00610FD6">
              <w:rPr>
                <w:rFonts w:ascii="Arial" w:hAnsi="Arial" w:cs="Arial"/>
                <w:b/>
                <w:sz w:val="20"/>
                <w:szCs w:val="20"/>
              </w:rPr>
              <w:t>Auditoría Área de Servicios Corporativos</w:t>
            </w:r>
          </w:p>
        </w:tc>
        <w:tc>
          <w:tcPr>
            <w:tcW w:w="3686" w:type="dxa"/>
            <w:vAlign w:val="center"/>
          </w:tcPr>
          <w:p w14:paraId="42196DFD" w14:textId="77777777" w:rsidR="0049782B" w:rsidRPr="00610FD6" w:rsidRDefault="0049782B" w:rsidP="00F34890">
            <w:pPr>
              <w:spacing w:before="100" w:beforeAutospacing="1" w:after="100" w:afterAutospacing="1"/>
              <w:ind w:right="22"/>
              <w:contextualSpacing/>
              <w:jc w:val="center"/>
              <w:rPr>
                <w:rFonts w:ascii="Arial" w:hAnsi="Arial" w:cs="Arial"/>
                <w:b/>
                <w:sz w:val="20"/>
                <w:szCs w:val="20"/>
              </w:rPr>
            </w:pPr>
            <w:r w:rsidRPr="00610FD6">
              <w:rPr>
                <w:rFonts w:ascii="Arial" w:hAnsi="Arial" w:cs="Arial"/>
                <w:sz w:val="20"/>
                <w:szCs w:val="20"/>
              </w:rPr>
              <w:t>Xinia López Corella</w:t>
            </w:r>
          </w:p>
          <w:p w14:paraId="649D6C42" w14:textId="77777777" w:rsidR="0049782B" w:rsidRPr="00610FD6" w:rsidRDefault="0049782B" w:rsidP="00F34890">
            <w:pPr>
              <w:spacing w:before="100" w:beforeAutospacing="1" w:after="100" w:afterAutospacing="1"/>
              <w:ind w:right="22"/>
              <w:contextualSpacing/>
              <w:jc w:val="center"/>
              <w:rPr>
                <w:rFonts w:ascii="Arial" w:hAnsi="Arial" w:cs="Arial"/>
                <w:b/>
                <w:sz w:val="20"/>
                <w:szCs w:val="20"/>
              </w:rPr>
            </w:pPr>
            <w:r w:rsidRPr="00610FD6">
              <w:rPr>
                <w:rFonts w:ascii="Arial" w:hAnsi="Arial" w:cs="Arial"/>
                <w:b/>
                <w:sz w:val="20"/>
                <w:szCs w:val="20"/>
              </w:rPr>
              <w:t>Coordinadora</w:t>
            </w:r>
          </w:p>
          <w:p w14:paraId="064F08A8" w14:textId="77777777" w:rsidR="0049782B" w:rsidRPr="00610FD6" w:rsidRDefault="0049782B" w:rsidP="00F34890">
            <w:pPr>
              <w:spacing w:before="100" w:beforeAutospacing="1" w:after="100" w:afterAutospacing="1"/>
              <w:ind w:right="22"/>
              <w:contextualSpacing/>
              <w:jc w:val="center"/>
              <w:rPr>
                <w:rFonts w:ascii="Arial" w:hAnsi="Arial" w:cs="Arial"/>
                <w:sz w:val="20"/>
                <w:szCs w:val="20"/>
              </w:rPr>
            </w:pPr>
            <w:r w:rsidRPr="00610FD6">
              <w:rPr>
                <w:rFonts w:ascii="Arial" w:hAnsi="Arial" w:cs="Arial"/>
                <w:b/>
                <w:sz w:val="20"/>
                <w:szCs w:val="20"/>
              </w:rPr>
              <w:t>Auditoría Área de Servicios Corporativos</w:t>
            </w:r>
          </w:p>
        </w:tc>
      </w:tr>
    </w:tbl>
    <w:p w14:paraId="0F808133" w14:textId="77777777" w:rsidR="00210D80" w:rsidRDefault="00210D80" w:rsidP="00AB57A5">
      <w:pPr>
        <w:ind w:right="-142"/>
        <w:contextualSpacing/>
        <w:jc w:val="both"/>
        <w:rPr>
          <w:rFonts w:ascii="Arial" w:hAnsi="Arial" w:cs="Arial"/>
          <w:sz w:val="16"/>
          <w:szCs w:val="16"/>
        </w:rPr>
      </w:pPr>
    </w:p>
    <w:p w14:paraId="400ADFE4" w14:textId="77777777" w:rsidR="00210D80" w:rsidRDefault="00210D80" w:rsidP="00AB57A5">
      <w:pPr>
        <w:ind w:right="-142"/>
        <w:contextualSpacing/>
        <w:jc w:val="both"/>
        <w:rPr>
          <w:rFonts w:ascii="Arial" w:hAnsi="Arial" w:cs="Arial"/>
          <w:sz w:val="16"/>
          <w:szCs w:val="16"/>
        </w:rPr>
      </w:pPr>
    </w:p>
    <w:p w14:paraId="05E0C212" w14:textId="43F6114C" w:rsidR="00AB57A5" w:rsidRDefault="0055222A" w:rsidP="00AB57A5">
      <w:pPr>
        <w:ind w:right="-142"/>
        <w:contextualSpacing/>
        <w:jc w:val="both"/>
        <w:rPr>
          <w:rFonts w:ascii="Arial" w:hAnsi="Arial" w:cs="Arial"/>
          <w:sz w:val="16"/>
          <w:szCs w:val="16"/>
        </w:rPr>
      </w:pPr>
      <w:r w:rsidRPr="00604B61">
        <w:rPr>
          <w:rFonts w:ascii="Arial" w:hAnsi="Arial" w:cs="Arial"/>
          <w:sz w:val="16"/>
          <w:szCs w:val="16"/>
        </w:rPr>
        <w:t xml:space="preserve">Estudio </w:t>
      </w:r>
      <w:proofErr w:type="spellStart"/>
      <w:r w:rsidR="00017CD1" w:rsidRPr="00604B61">
        <w:rPr>
          <w:rFonts w:ascii="Arial" w:hAnsi="Arial" w:cs="Arial"/>
          <w:sz w:val="16"/>
          <w:szCs w:val="16"/>
        </w:rPr>
        <w:t>Nº</w:t>
      </w:r>
      <w:proofErr w:type="spellEnd"/>
      <w:r w:rsidRPr="00604B61">
        <w:rPr>
          <w:rFonts w:ascii="Arial" w:hAnsi="Arial" w:cs="Arial"/>
          <w:sz w:val="16"/>
          <w:szCs w:val="16"/>
        </w:rPr>
        <w:t xml:space="preserve"> 0</w:t>
      </w:r>
      <w:r w:rsidR="00AD72B4">
        <w:rPr>
          <w:rFonts w:ascii="Arial" w:hAnsi="Arial" w:cs="Arial"/>
          <w:sz w:val="16"/>
          <w:szCs w:val="16"/>
        </w:rPr>
        <w:t>45</w:t>
      </w:r>
      <w:r w:rsidRPr="00604B61">
        <w:rPr>
          <w:rFonts w:ascii="Arial" w:hAnsi="Arial" w:cs="Arial"/>
          <w:sz w:val="16"/>
          <w:szCs w:val="16"/>
        </w:rPr>
        <w:t>-202</w:t>
      </w:r>
      <w:r w:rsidR="00087229">
        <w:rPr>
          <w:rFonts w:ascii="Arial" w:hAnsi="Arial" w:cs="Arial"/>
          <w:sz w:val="16"/>
          <w:szCs w:val="16"/>
        </w:rPr>
        <w:t>2</w:t>
      </w:r>
    </w:p>
    <w:p w14:paraId="5CFB9A09" w14:textId="7F67CF2B" w:rsidR="006758D3" w:rsidRDefault="0055222A" w:rsidP="00AB57A5">
      <w:pPr>
        <w:ind w:right="-142"/>
        <w:contextualSpacing/>
        <w:jc w:val="both"/>
        <w:rPr>
          <w:rFonts w:ascii="Arial" w:hAnsi="Arial" w:cs="Arial"/>
          <w:b/>
          <w:bCs/>
          <w:color w:val="44546A"/>
          <w:sz w:val="24"/>
          <w:szCs w:val="24"/>
        </w:rPr>
      </w:pPr>
      <w:r w:rsidRPr="0013779D">
        <w:rPr>
          <w:rFonts w:ascii="Arial" w:hAnsi="Arial" w:cs="Arial"/>
          <w:sz w:val="16"/>
          <w:szCs w:val="16"/>
        </w:rPr>
        <w:t xml:space="preserve">Criterio </w:t>
      </w:r>
      <w:r w:rsidR="00D47A53" w:rsidRPr="0013779D">
        <w:rPr>
          <w:rFonts w:ascii="Arial" w:hAnsi="Arial" w:cs="Arial"/>
          <w:color w:val="242424"/>
          <w:sz w:val="16"/>
          <w:szCs w:val="16"/>
          <w:shd w:val="clear" w:color="auto" w:fill="FFFFFF"/>
        </w:rPr>
        <w:t xml:space="preserve">N° </w:t>
      </w:r>
      <w:r w:rsidR="00E44C76">
        <w:rPr>
          <w:rFonts w:ascii="Arial" w:hAnsi="Arial" w:cs="Arial"/>
          <w:color w:val="242424"/>
          <w:sz w:val="16"/>
          <w:szCs w:val="16"/>
          <w:shd w:val="clear" w:color="auto" w:fill="FFFFFF"/>
        </w:rPr>
        <w:t xml:space="preserve"> </w:t>
      </w:r>
      <w:r w:rsidR="00D47A53" w:rsidRPr="0013779D">
        <w:rPr>
          <w:rFonts w:ascii="Arial" w:hAnsi="Arial" w:cs="Arial"/>
          <w:color w:val="242424"/>
          <w:sz w:val="16"/>
          <w:szCs w:val="16"/>
          <w:shd w:val="clear" w:color="auto" w:fill="FFFFFF"/>
        </w:rPr>
        <w:t xml:space="preserve"> </w:t>
      </w:r>
      <w:r w:rsidR="00087229">
        <w:rPr>
          <w:rFonts w:ascii="Arial" w:hAnsi="Arial" w:cs="Arial"/>
          <w:color w:val="242424"/>
          <w:sz w:val="16"/>
          <w:szCs w:val="16"/>
          <w:shd w:val="clear" w:color="auto" w:fill="FFFFFF"/>
        </w:rPr>
        <w:t>Despacho</w:t>
      </w:r>
      <w:bookmarkStart w:id="92" w:name="_GoBack"/>
      <w:bookmarkEnd w:id="92"/>
    </w:p>
    <w:p w14:paraId="37C60649" w14:textId="77777777" w:rsidR="006758D3" w:rsidRDefault="006758D3">
      <w:pPr>
        <w:autoSpaceDE w:val="0"/>
        <w:autoSpaceDN w:val="0"/>
        <w:adjustRightInd w:val="0"/>
        <w:contextualSpacing/>
        <w:jc w:val="center"/>
        <w:rPr>
          <w:rFonts w:ascii="Arial" w:hAnsi="Arial" w:cs="Arial"/>
          <w:b/>
          <w:bCs/>
          <w:color w:val="44546A"/>
          <w:sz w:val="24"/>
          <w:szCs w:val="24"/>
        </w:rPr>
      </w:pPr>
    </w:p>
    <w:p w14:paraId="5AC0B678" w14:textId="77777777" w:rsidR="004662D8" w:rsidRDefault="004662D8">
      <w:pPr>
        <w:autoSpaceDE w:val="0"/>
        <w:autoSpaceDN w:val="0"/>
        <w:adjustRightInd w:val="0"/>
        <w:contextualSpacing/>
        <w:jc w:val="center"/>
        <w:rPr>
          <w:rFonts w:ascii="Arial" w:hAnsi="Arial" w:cs="Arial"/>
          <w:b/>
          <w:bCs/>
          <w:color w:val="44546A"/>
          <w:sz w:val="24"/>
          <w:szCs w:val="24"/>
        </w:rPr>
      </w:pPr>
    </w:p>
    <w:p w14:paraId="5A5C7DD7" w14:textId="77777777" w:rsidR="004662D8" w:rsidRDefault="004662D8">
      <w:pPr>
        <w:autoSpaceDE w:val="0"/>
        <w:autoSpaceDN w:val="0"/>
        <w:adjustRightInd w:val="0"/>
        <w:contextualSpacing/>
        <w:jc w:val="center"/>
        <w:rPr>
          <w:rFonts w:ascii="Arial" w:hAnsi="Arial" w:cs="Arial"/>
          <w:b/>
          <w:bCs/>
          <w:color w:val="44546A"/>
          <w:sz w:val="24"/>
          <w:szCs w:val="24"/>
        </w:rPr>
      </w:pPr>
    </w:p>
    <w:p w14:paraId="2B02D04F" w14:textId="77777777" w:rsidR="004662D8" w:rsidRDefault="004662D8">
      <w:pPr>
        <w:autoSpaceDE w:val="0"/>
        <w:autoSpaceDN w:val="0"/>
        <w:adjustRightInd w:val="0"/>
        <w:contextualSpacing/>
        <w:jc w:val="center"/>
        <w:rPr>
          <w:rFonts w:ascii="Arial" w:hAnsi="Arial" w:cs="Arial"/>
          <w:b/>
          <w:bCs/>
          <w:color w:val="44546A"/>
          <w:sz w:val="24"/>
          <w:szCs w:val="24"/>
        </w:rPr>
      </w:pPr>
    </w:p>
    <w:p w14:paraId="23FF16D4" w14:textId="77777777" w:rsidR="004662D8" w:rsidRDefault="004662D8">
      <w:pPr>
        <w:autoSpaceDE w:val="0"/>
        <w:autoSpaceDN w:val="0"/>
        <w:adjustRightInd w:val="0"/>
        <w:contextualSpacing/>
        <w:jc w:val="center"/>
        <w:rPr>
          <w:rFonts w:ascii="Arial" w:hAnsi="Arial" w:cs="Arial"/>
          <w:b/>
          <w:bCs/>
          <w:color w:val="44546A"/>
          <w:sz w:val="24"/>
          <w:szCs w:val="24"/>
        </w:rPr>
      </w:pPr>
    </w:p>
    <w:p w14:paraId="153E8A35" w14:textId="77777777" w:rsidR="004662D8" w:rsidRDefault="004662D8">
      <w:pPr>
        <w:autoSpaceDE w:val="0"/>
        <w:autoSpaceDN w:val="0"/>
        <w:adjustRightInd w:val="0"/>
        <w:contextualSpacing/>
        <w:jc w:val="center"/>
        <w:rPr>
          <w:rFonts w:ascii="Arial" w:hAnsi="Arial" w:cs="Arial"/>
          <w:b/>
          <w:bCs/>
          <w:color w:val="44546A"/>
          <w:sz w:val="24"/>
          <w:szCs w:val="24"/>
        </w:rPr>
      </w:pPr>
    </w:p>
    <w:p w14:paraId="51D4876A" w14:textId="77777777" w:rsidR="004662D8" w:rsidRDefault="004662D8">
      <w:pPr>
        <w:autoSpaceDE w:val="0"/>
        <w:autoSpaceDN w:val="0"/>
        <w:adjustRightInd w:val="0"/>
        <w:contextualSpacing/>
        <w:jc w:val="center"/>
        <w:rPr>
          <w:rFonts w:ascii="Arial" w:hAnsi="Arial" w:cs="Arial"/>
          <w:b/>
          <w:bCs/>
          <w:color w:val="44546A"/>
          <w:sz w:val="24"/>
          <w:szCs w:val="24"/>
        </w:rPr>
      </w:pPr>
    </w:p>
    <w:p w14:paraId="1BCFD26B" w14:textId="77777777" w:rsidR="004662D8" w:rsidRDefault="004662D8">
      <w:pPr>
        <w:autoSpaceDE w:val="0"/>
        <w:autoSpaceDN w:val="0"/>
        <w:adjustRightInd w:val="0"/>
        <w:contextualSpacing/>
        <w:jc w:val="center"/>
        <w:rPr>
          <w:rFonts w:ascii="Arial" w:hAnsi="Arial" w:cs="Arial"/>
          <w:b/>
          <w:bCs/>
          <w:color w:val="44546A"/>
          <w:sz w:val="24"/>
          <w:szCs w:val="24"/>
        </w:rPr>
      </w:pPr>
    </w:p>
    <w:p w14:paraId="2A2F9B70" w14:textId="77777777" w:rsidR="004662D8" w:rsidRDefault="004662D8">
      <w:pPr>
        <w:autoSpaceDE w:val="0"/>
        <w:autoSpaceDN w:val="0"/>
        <w:adjustRightInd w:val="0"/>
        <w:contextualSpacing/>
        <w:jc w:val="center"/>
        <w:rPr>
          <w:rFonts w:ascii="Arial" w:hAnsi="Arial" w:cs="Arial"/>
          <w:b/>
          <w:bCs/>
          <w:color w:val="44546A"/>
          <w:sz w:val="24"/>
          <w:szCs w:val="24"/>
        </w:rPr>
      </w:pPr>
    </w:p>
    <w:p w14:paraId="41E0BAD3" w14:textId="77777777" w:rsidR="004662D8" w:rsidRDefault="004662D8">
      <w:pPr>
        <w:autoSpaceDE w:val="0"/>
        <w:autoSpaceDN w:val="0"/>
        <w:adjustRightInd w:val="0"/>
        <w:contextualSpacing/>
        <w:jc w:val="center"/>
        <w:rPr>
          <w:rFonts w:ascii="Arial" w:hAnsi="Arial" w:cs="Arial"/>
          <w:b/>
          <w:bCs/>
          <w:color w:val="44546A"/>
          <w:sz w:val="24"/>
          <w:szCs w:val="24"/>
        </w:rPr>
      </w:pPr>
    </w:p>
    <w:p w14:paraId="79EFF711" w14:textId="77777777" w:rsidR="004662D8" w:rsidRDefault="004662D8">
      <w:pPr>
        <w:autoSpaceDE w:val="0"/>
        <w:autoSpaceDN w:val="0"/>
        <w:adjustRightInd w:val="0"/>
        <w:contextualSpacing/>
        <w:jc w:val="center"/>
        <w:rPr>
          <w:rFonts w:ascii="Arial" w:hAnsi="Arial" w:cs="Arial"/>
          <w:b/>
          <w:bCs/>
          <w:color w:val="44546A"/>
          <w:sz w:val="24"/>
          <w:szCs w:val="24"/>
        </w:rPr>
      </w:pPr>
    </w:p>
    <w:p w14:paraId="6DD46B6A" w14:textId="77777777" w:rsidR="004662D8" w:rsidRDefault="004662D8">
      <w:pPr>
        <w:autoSpaceDE w:val="0"/>
        <w:autoSpaceDN w:val="0"/>
        <w:adjustRightInd w:val="0"/>
        <w:contextualSpacing/>
        <w:jc w:val="center"/>
        <w:rPr>
          <w:rFonts w:ascii="Arial" w:hAnsi="Arial" w:cs="Arial"/>
          <w:b/>
          <w:bCs/>
          <w:color w:val="44546A"/>
          <w:sz w:val="24"/>
          <w:szCs w:val="24"/>
        </w:rPr>
      </w:pPr>
    </w:p>
    <w:p w14:paraId="2024A9DF" w14:textId="77777777" w:rsidR="004662D8" w:rsidRDefault="004662D8">
      <w:pPr>
        <w:autoSpaceDE w:val="0"/>
        <w:autoSpaceDN w:val="0"/>
        <w:adjustRightInd w:val="0"/>
        <w:contextualSpacing/>
        <w:jc w:val="center"/>
        <w:rPr>
          <w:rFonts w:ascii="Arial" w:hAnsi="Arial" w:cs="Arial"/>
          <w:b/>
          <w:bCs/>
          <w:color w:val="44546A"/>
          <w:sz w:val="24"/>
          <w:szCs w:val="24"/>
        </w:rPr>
      </w:pPr>
    </w:p>
    <w:p w14:paraId="3ABF231B" w14:textId="77777777" w:rsidR="004662D8" w:rsidRDefault="004662D8">
      <w:pPr>
        <w:autoSpaceDE w:val="0"/>
        <w:autoSpaceDN w:val="0"/>
        <w:adjustRightInd w:val="0"/>
        <w:contextualSpacing/>
        <w:jc w:val="center"/>
        <w:rPr>
          <w:rFonts w:ascii="Arial" w:hAnsi="Arial" w:cs="Arial"/>
          <w:b/>
          <w:bCs/>
          <w:color w:val="44546A"/>
          <w:sz w:val="24"/>
          <w:szCs w:val="24"/>
        </w:rPr>
      </w:pPr>
    </w:p>
    <w:p w14:paraId="49DD58BF" w14:textId="77777777" w:rsidR="004662D8" w:rsidRDefault="004662D8">
      <w:pPr>
        <w:autoSpaceDE w:val="0"/>
        <w:autoSpaceDN w:val="0"/>
        <w:adjustRightInd w:val="0"/>
        <w:contextualSpacing/>
        <w:jc w:val="center"/>
        <w:rPr>
          <w:rFonts w:ascii="Arial" w:hAnsi="Arial" w:cs="Arial"/>
          <w:b/>
          <w:bCs/>
          <w:color w:val="44546A"/>
          <w:sz w:val="24"/>
          <w:szCs w:val="24"/>
        </w:rPr>
      </w:pPr>
    </w:p>
    <w:p w14:paraId="332920DF" w14:textId="77777777" w:rsidR="004662D8" w:rsidRDefault="004662D8">
      <w:pPr>
        <w:autoSpaceDE w:val="0"/>
        <w:autoSpaceDN w:val="0"/>
        <w:adjustRightInd w:val="0"/>
        <w:contextualSpacing/>
        <w:jc w:val="center"/>
        <w:rPr>
          <w:rFonts w:ascii="Arial" w:hAnsi="Arial" w:cs="Arial"/>
          <w:b/>
          <w:bCs/>
          <w:color w:val="44546A"/>
          <w:sz w:val="24"/>
          <w:szCs w:val="24"/>
        </w:rPr>
      </w:pPr>
    </w:p>
    <w:p w14:paraId="3EE4C90D" w14:textId="77777777" w:rsidR="004662D8" w:rsidRDefault="004662D8">
      <w:pPr>
        <w:autoSpaceDE w:val="0"/>
        <w:autoSpaceDN w:val="0"/>
        <w:adjustRightInd w:val="0"/>
        <w:contextualSpacing/>
        <w:jc w:val="center"/>
        <w:rPr>
          <w:rFonts w:ascii="Arial" w:hAnsi="Arial" w:cs="Arial"/>
          <w:b/>
          <w:bCs/>
          <w:color w:val="44546A"/>
          <w:sz w:val="24"/>
          <w:szCs w:val="24"/>
        </w:rPr>
      </w:pPr>
    </w:p>
    <w:p w14:paraId="63416DF0" w14:textId="77777777" w:rsidR="004662D8" w:rsidRDefault="004662D8">
      <w:pPr>
        <w:autoSpaceDE w:val="0"/>
        <w:autoSpaceDN w:val="0"/>
        <w:adjustRightInd w:val="0"/>
        <w:contextualSpacing/>
        <w:jc w:val="center"/>
        <w:rPr>
          <w:rFonts w:ascii="Arial" w:hAnsi="Arial" w:cs="Arial"/>
          <w:b/>
          <w:bCs/>
          <w:color w:val="44546A"/>
          <w:sz w:val="24"/>
          <w:szCs w:val="24"/>
        </w:rPr>
      </w:pPr>
    </w:p>
    <w:p w14:paraId="4E3F0B52" w14:textId="77777777" w:rsidR="004662D8" w:rsidRDefault="004662D8">
      <w:pPr>
        <w:autoSpaceDE w:val="0"/>
        <w:autoSpaceDN w:val="0"/>
        <w:adjustRightInd w:val="0"/>
        <w:contextualSpacing/>
        <w:jc w:val="center"/>
        <w:rPr>
          <w:rFonts w:ascii="Arial" w:hAnsi="Arial" w:cs="Arial"/>
          <w:b/>
          <w:bCs/>
          <w:color w:val="44546A"/>
          <w:sz w:val="24"/>
          <w:szCs w:val="24"/>
        </w:rPr>
      </w:pPr>
    </w:p>
    <w:p w14:paraId="5E64E8AB" w14:textId="77777777" w:rsidR="004662D8" w:rsidRDefault="004662D8">
      <w:pPr>
        <w:autoSpaceDE w:val="0"/>
        <w:autoSpaceDN w:val="0"/>
        <w:adjustRightInd w:val="0"/>
        <w:contextualSpacing/>
        <w:jc w:val="center"/>
        <w:rPr>
          <w:rFonts w:ascii="Arial" w:hAnsi="Arial" w:cs="Arial"/>
          <w:b/>
          <w:bCs/>
          <w:color w:val="44546A"/>
          <w:sz w:val="24"/>
          <w:szCs w:val="24"/>
        </w:rPr>
      </w:pPr>
    </w:p>
    <w:p w14:paraId="63252638" w14:textId="77777777" w:rsidR="004662D8" w:rsidRDefault="004662D8">
      <w:pPr>
        <w:autoSpaceDE w:val="0"/>
        <w:autoSpaceDN w:val="0"/>
        <w:adjustRightInd w:val="0"/>
        <w:contextualSpacing/>
        <w:jc w:val="center"/>
        <w:rPr>
          <w:rFonts w:ascii="Arial" w:hAnsi="Arial" w:cs="Arial"/>
          <w:b/>
          <w:bCs/>
          <w:color w:val="44546A"/>
          <w:sz w:val="24"/>
          <w:szCs w:val="24"/>
        </w:rPr>
      </w:pPr>
    </w:p>
    <w:p w14:paraId="391B4E88" w14:textId="77777777" w:rsidR="004662D8" w:rsidRDefault="004662D8">
      <w:pPr>
        <w:autoSpaceDE w:val="0"/>
        <w:autoSpaceDN w:val="0"/>
        <w:adjustRightInd w:val="0"/>
        <w:contextualSpacing/>
        <w:jc w:val="center"/>
        <w:rPr>
          <w:rFonts w:ascii="Arial" w:hAnsi="Arial" w:cs="Arial"/>
          <w:b/>
          <w:bCs/>
          <w:color w:val="44546A"/>
          <w:sz w:val="24"/>
          <w:szCs w:val="24"/>
        </w:rPr>
      </w:pPr>
    </w:p>
    <w:p w14:paraId="1313F08A" w14:textId="77777777" w:rsidR="004662D8" w:rsidRDefault="004662D8">
      <w:pPr>
        <w:autoSpaceDE w:val="0"/>
        <w:autoSpaceDN w:val="0"/>
        <w:adjustRightInd w:val="0"/>
        <w:contextualSpacing/>
        <w:jc w:val="center"/>
        <w:rPr>
          <w:rFonts w:ascii="Arial" w:hAnsi="Arial" w:cs="Arial"/>
          <w:b/>
          <w:bCs/>
          <w:color w:val="44546A"/>
          <w:sz w:val="24"/>
          <w:szCs w:val="24"/>
        </w:rPr>
      </w:pPr>
    </w:p>
    <w:p w14:paraId="2FB26620" w14:textId="77777777" w:rsidR="004662D8" w:rsidRDefault="004662D8">
      <w:pPr>
        <w:autoSpaceDE w:val="0"/>
        <w:autoSpaceDN w:val="0"/>
        <w:adjustRightInd w:val="0"/>
        <w:contextualSpacing/>
        <w:jc w:val="center"/>
        <w:rPr>
          <w:rFonts w:ascii="Arial" w:hAnsi="Arial" w:cs="Arial"/>
          <w:b/>
          <w:bCs/>
          <w:color w:val="44546A"/>
          <w:sz w:val="24"/>
          <w:szCs w:val="24"/>
        </w:rPr>
      </w:pPr>
    </w:p>
    <w:p w14:paraId="51A4EB0E" w14:textId="77777777" w:rsidR="004662D8" w:rsidRDefault="004662D8">
      <w:pPr>
        <w:autoSpaceDE w:val="0"/>
        <w:autoSpaceDN w:val="0"/>
        <w:adjustRightInd w:val="0"/>
        <w:contextualSpacing/>
        <w:jc w:val="center"/>
        <w:rPr>
          <w:rFonts w:ascii="Arial" w:hAnsi="Arial" w:cs="Arial"/>
          <w:b/>
          <w:bCs/>
          <w:color w:val="44546A"/>
          <w:sz w:val="24"/>
          <w:szCs w:val="24"/>
        </w:rPr>
      </w:pPr>
    </w:p>
    <w:p w14:paraId="5C1D9962" w14:textId="77777777" w:rsidR="004662D8" w:rsidRDefault="004662D8">
      <w:pPr>
        <w:autoSpaceDE w:val="0"/>
        <w:autoSpaceDN w:val="0"/>
        <w:adjustRightInd w:val="0"/>
        <w:contextualSpacing/>
        <w:jc w:val="center"/>
        <w:rPr>
          <w:rFonts w:ascii="Arial" w:hAnsi="Arial" w:cs="Arial"/>
          <w:b/>
          <w:bCs/>
          <w:color w:val="44546A"/>
          <w:sz w:val="24"/>
          <w:szCs w:val="24"/>
        </w:rPr>
      </w:pPr>
    </w:p>
    <w:p w14:paraId="622D3E1D" w14:textId="77777777" w:rsidR="004662D8" w:rsidRDefault="004662D8">
      <w:pPr>
        <w:autoSpaceDE w:val="0"/>
        <w:autoSpaceDN w:val="0"/>
        <w:adjustRightInd w:val="0"/>
        <w:contextualSpacing/>
        <w:jc w:val="center"/>
        <w:rPr>
          <w:rFonts w:ascii="Arial" w:hAnsi="Arial" w:cs="Arial"/>
          <w:b/>
          <w:bCs/>
          <w:color w:val="44546A"/>
          <w:sz w:val="24"/>
          <w:szCs w:val="24"/>
        </w:rPr>
      </w:pPr>
    </w:p>
    <w:p w14:paraId="3D8D7B7A" w14:textId="77777777" w:rsidR="004662D8" w:rsidRDefault="004662D8">
      <w:pPr>
        <w:autoSpaceDE w:val="0"/>
        <w:autoSpaceDN w:val="0"/>
        <w:adjustRightInd w:val="0"/>
        <w:contextualSpacing/>
        <w:jc w:val="center"/>
        <w:rPr>
          <w:rFonts w:ascii="Arial" w:hAnsi="Arial" w:cs="Arial"/>
          <w:b/>
          <w:bCs/>
          <w:color w:val="44546A"/>
          <w:sz w:val="24"/>
          <w:szCs w:val="24"/>
        </w:rPr>
      </w:pPr>
    </w:p>
    <w:p w14:paraId="203EEFFC" w14:textId="77777777" w:rsidR="004662D8" w:rsidRDefault="004662D8">
      <w:pPr>
        <w:autoSpaceDE w:val="0"/>
        <w:autoSpaceDN w:val="0"/>
        <w:adjustRightInd w:val="0"/>
        <w:contextualSpacing/>
        <w:jc w:val="center"/>
        <w:rPr>
          <w:rFonts w:ascii="Arial" w:hAnsi="Arial" w:cs="Arial"/>
          <w:b/>
          <w:bCs/>
          <w:color w:val="44546A"/>
          <w:sz w:val="24"/>
          <w:szCs w:val="24"/>
        </w:rPr>
      </w:pPr>
    </w:p>
    <w:p w14:paraId="14AA05AE" w14:textId="77777777" w:rsidR="004662D8" w:rsidRDefault="004662D8">
      <w:pPr>
        <w:autoSpaceDE w:val="0"/>
        <w:autoSpaceDN w:val="0"/>
        <w:adjustRightInd w:val="0"/>
        <w:contextualSpacing/>
        <w:jc w:val="center"/>
        <w:rPr>
          <w:rFonts w:ascii="Arial" w:hAnsi="Arial" w:cs="Arial"/>
          <w:b/>
          <w:bCs/>
          <w:color w:val="44546A"/>
          <w:sz w:val="24"/>
          <w:szCs w:val="24"/>
        </w:rPr>
      </w:pPr>
    </w:p>
    <w:p w14:paraId="508885FC" w14:textId="59A8A087" w:rsidR="0055222A" w:rsidRDefault="0055222A">
      <w:pPr>
        <w:autoSpaceDE w:val="0"/>
        <w:autoSpaceDN w:val="0"/>
        <w:adjustRightInd w:val="0"/>
        <w:contextualSpacing/>
        <w:jc w:val="center"/>
        <w:rPr>
          <w:rFonts w:ascii="Arial" w:hAnsi="Arial" w:cs="Arial"/>
          <w:b/>
          <w:bCs/>
          <w:color w:val="44546A"/>
          <w:sz w:val="24"/>
          <w:szCs w:val="24"/>
        </w:rPr>
      </w:pPr>
      <w:r w:rsidRPr="0030748B">
        <w:rPr>
          <w:rFonts w:ascii="Arial" w:hAnsi="Arial" w:cs="Arial"/>
          <w:b/>
          <w:bCs/>
          <w:color w:val="44546A"/>
          <w:sz w:val="24"/>
          <w:szCs w:val="24"/>
        </w:rPr>
        <w:t>ANEXO N°1</w:t>
      </w:r>
    </w:p>
    <w:p w14:paraId="20890671" w14:textId="77777777" w:rsidR="001C618B" w:rsidRPr="0030748B" w:rsidRDefault="001C618B">
      <w:pPr>
        <w:autoSpaceDE w:val="0"/>
        <w:autoSpaceDN w:val="0"/>
        <w:adjustRightInd w:val="0"/>
        <w:contextualSpacing/>
        <w:jc w:val="center"/>
        <w:rPr>
          <w:rFonts w:ascii="Arial" w:hAnsi="Arial" w:cs="Arial"/>
          <w:b/>
          <w:bCs/>
          <w:color w:val="44546A"/>
          <w:sz w:val="24"/>
          <w:szCs w:val="24"/>
        </w:rPr>
      </w:pPr>
    </w:p>
    <w:p w14:paraId="43C8D420" w14:textId="77777777" w:rsidR="0055222A" w:rsidRPr="0030748B" w:rsidRDefault="0055222A">
      <w:pPr>
        <w:autoSpaceDE w:val="0"/>
        <w:autoSpaceDN w:val="0"/>
        <w:adjustRightInd w:val="0"/>
        <w:contextualSpacing/>
        <w:jc w:val="center"/>
        <w:rPr>
          <w:rFonts w:ascii="Arial" w:hAnsi="Arial" w:cs="Arial"/>
          <w:b/>
          <w:bCs/>
          <w:color w:val="44546A"/>
          <w:sz w:val="24"/>
          <w:szCs w:val="24"/>
        </w:rPr>
      </w:pPr>
      <w:r w:rsidRPr="0030748B">
        <w:rPr>
          <w:rFonts w:ascii="Arial" w:hAnsi="Arial" w:cs="Arial"/>
          <w:b/>
          <w:bCs/>
          <w:color w:val="44546A"/>
          <w:sz w:val="24"/>
          <w:szCs w:val="24"/>
        </w:rPr>
        <w:t xml:space="preserve">COMENTARIOS RECIBIDOS DURANTE LA COMUNICACIÓN DE RESULTADOS </w:t>
      </w:r>
    </w:p>
    <w:p w14:paraId="0A7E9683" w14:textId="77777777" w:rsidR="0055222A" w:rsidRPr="0043627B" w:rsidRDefault="0055222A">
      <w:pPr>
        <w:autoSpaceDE w:val="0"/>
        <w:autoSpaceDN w:val="0"/>
        <w:adjustRightInd w:val="0"/>
        <w:contextualSpacing/>
        <w:jc w:val="center"/>
        <w:rPr>
          <w:rFonts w:ascii="Arial" w:hAnsi="Arial" w:cs="Arial"/>
          <w:b/>
          <w:bCs/>
          <w:color w:val="000000"/>
          <w:sz w:val="24"/>
          <w:szCs w:val="24"/>
        </w:rPr>
      </w:pPr>
    </w:p>
    <w:tbl>
      <w:tblPr>
        <w:tblW w:w="0" w:type="auto"/>
        <w:tblCellMar>
          <w:left w:w="0" w:type="dxa"/>
          <w:right w:w="0" w:type="dxa"/>
        </w:tblCellMar>
        <w:tblLook w:val="04A0" w:firstRow="1" w:lastRow="0" w:firstColumn="1" w:lastColumn="0" w:noHBand="0" w:noVBand="1"/>
      </w:tblPr>
      <w:tblGrid>
        <w:gridCol w:w="4313"/>
        <w:gridCol w:w="4314"/>
      </w:tblGrid>
      <w:tr w:rsidR="0055222A" w:rsidRPr="0043627B" w14:paraId="7DB53F9F" w14:textId="77777777" w:rsidTr="004C32CB">
        <w:tc>
          <w:tcPr>
            <w:tcW w:w="4313"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3560CC9F" w14:textId="77777777" w:rsidR="0055222A" w:rsidRPr="00261CAB" w:rsidRDefault="0055222A">
            <w:pPr>
              <w:contextualSpacing/>
              <w:jc w:val="center"/>
              <w:rPr>
                <w:rFonts w:ascii="Arial" w:hAnsi="Arial" w:cs="Arial"/>
                <w:b/>
                <w:bCs/>
                <w:lang w:eastAsia="es-CR"/>
              </w:rPr>
            </w:pPr>
            <w:r w:rsidRPr="00261CAB">
              <w:rPr>
                <w:rFonts w:ascii="Arial" w:hAnsi="Arial" w:cs="Arial"/>
                <w:b/>
                <w:bCs/>
                <w:lang w:eastAsia="es-CR"/>
              </w:rPr>
              <w:t>Comentarios</w:t>
            </w:r>
          </w:p>
        </w:tc>
        <w:tc>
          <w:tcPr>
            <w:tcW w:w="4314"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5D96CFF8" w14:textId="77777777" w:rsidR="0055222A" w:rsidRPr="00261CAB" w:rsidRDefault="0055222A">
            <w:pPr>
              <w:contextualSpacing/>
              <w:jc w:val="center"/>
              <w:rPr>
                <w:rFonts w:ascii="Arial" w:eastAsia="Calibri" w:hAnsi="Arial" w:cs="Arial"/>
                <w:b/>
                <w:bCs/>
                <w:lang w:eastAsia="es-CR"/>
              </w:rPr>
            </w:pPr>
            <w:r w:rsidRPr="00261CAB">
              <w:rPr>
                <w:rFonts w:ascii="Arial" w:hAnsi="Arial" w:cs="Arial"/>
                <w:b/>
                <w:bCs/>
                <w:lang w:eastAsia="es-CR"/>
              </w:rPr>
              <w:t>Valoración</w:t>
            </w:r>
          </w:p>
        </w:tc>
      </w:tr>
      <w:tr w:rsidR="0055222A" w:rsidRPr="0043627B" w14:paraId="57391D87" w14:textId="77777777" w:rsidTr="004C32CB">
        <w:tc>
          <w:tcPr>
            <w:tcW w:w="4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56B17F" w14:textId="5D9CDC41" w:rsidR="0055222A" w:rsidRPr="00261CAB" w:rsidRDefault="004662D8" w:rsidP="006C7F40">
            <w:pPr>
              <w:pStyle w:val="Default"/>
              <w:contextualSpacing/>
              <w:jc w:val="both"/>
              <w:rPr>
                <w:rFonts w:ascii="Arial" w:hAnsi="Arial" w:cs="Arial"/>
                <w:bCs/>
                <w:sz w:val="22"/>
                <w:szCs w:val="22"/>
              </w:rPr>
            </w:pPr>
            <w:r>
              <w:rPr>
                <w:rFonts w:ascii="Arial" w:hAnsi="Arial" w:cs="Arial"/>
                <w:bCs/>
                <w:sz w:val="22"/>
                <w:szCs w:val="22"/>
              </w:rPr>
              <w:t>Sobre recomendación 4.1,</w:t>
            </w:r>
            <w:r w:rsidR="00F553E6">
              <w:rPr>
                <w:rFonts w:ascii="Arial" w:hAnsi="Arial" w:cs="Arial"/>
                <w:bCs/>
                <w:sz w:val="22"/>
                <w:szCs w:val="22"/>
              </w:rPr>
              <w:t xml:space="preserve"> el Director de Auditoría</w:t>
            </w:r>
            <w:r>
              <w:rPr>
                <w:rFonts w:ascii="Arial" w:hAnsi="Arial" w:cs="Arial"/>
                <w:bCs/>
                <w:sz w:val="22"/>
                <w:szCs w:val="22"/>
              </w:rPr>
              <w:t xml:space="preserve"> indica que la fecha para el cumplimiento se ampliará a agosto 2022.</w:t>
            </w:r>
          </w:p>
        </w:tc>
        <w:tc>
          <w:tcPr>
            <w:tcW w:w="43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1E41CFD" w14:textId="42649817" w:rsidR="00562F1A" w:rsidRPr="00261CAB" w:rsidRDefault="004662D8" w:rsidP="00F524F9">
            <w:pPr>
              <w:pStyle w:val="Default"/>
              <w:contextualSpacing/>
              <w:jc w:val="both"/>
              <w:rPr>
                <w:rFonts w:ascii="Arial" w:hAnsi="Arial" w:cs="Arial"/>
                <w:bCs/>
                <w:sz w:val="22"/>
                <w:szCs w:val="22"/>
                <w:lang w:eastAsia="es-CR"/>
              </w:rPr>
            </w:pPr>
            <w:r>
              <w:rPr>
                <w:rFonts w:ascii="Arial" w:hAnsi="Arial" w:cs="Arial"/>
                <w:bCs/>
                <w:sz w:val="22"/>
                <w:szCs w:val="22"/>
                <w:lang w:eastAsia="es-CR"/>
              </w:rPr>
              <w:t>Siendo que se debe brindar un plazo prudencial para el cumplimiento de la recomendación se amplía el plazo para el 31 de agosto del 2022.</w:t>
            </w:r>
          </w:p>
        </w:tc>
      </w:tr>
      <w:tr w:rsidR="0055222A" w:rsidRPr="0043627B" w14:paraId="5C882A05" w14:textId="77777777" w:rsidTr="004C32CB">
        <w:tc>
          <w:tcPr>
            <w:tcW w:w="4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484103" w14:textId="77777777" w:rsidR="0055222A" w:rsidRDefault="004662D8" w:rsidP="006C7F40">
            <w:pPr>
              <w:autoSpaceDE w:val="0"/>
              <w:autoSpaceDN w:val="0"/>
              <w:adjustRightInd w:val="0"/>
              <w:contextualSpacing/>
              <w:jc w:val="both"/>
              <w:rPr>
                <w:rFonts w:ascii="Arial" w:hAnsi="Arial" w:cs="Arial"/>
                <w:bCs/>
                <w:color w:val="000000"/>
              </w:rPr>
            </w:pPr>
            <w:r>
              <w:rPr>
                <w:rFonts w:ascii="Arial" w:hAnsi="Arial" w:cs="Arial"/>
                <w:bCs/>
                <w:color w:val="000000"/>
              </w:rPr>
              <w:t>Sobre recomendación 4.2, Don Wilberth Sibaja Picado indica que este estudio de auditoria brinda oportunidades de mejora e impulsa</w:t>
            </w:r>
            <w:r w:rsidR="00210D80">
              <w:rPr>
                <w:rFonts w:ascii="Arial" w:hAnsi="Arial" w:cs="Arial"/>
                <w:bCs/>
                <w:color w:val="000000"/>
              </w:rPr>
              <w:t xml:space="preserve"> la ejecución del</w:t>
            </w:r>
            <w:r>
              <w:rPr>
                <w:rFonts w:ascii="Arial" w:hAnsi="Arial" w:cs="Arial"/>
                <w:bCs/>
                <w:color w:val="000000"/>
              </w:rPr>
              <w:t xml:space="preserve"> proceso de apertura de datos en el Ministerio de Hacienda.</w:t>
            </w:r>
          </w:p>
          <w:p w14:paraId="452EBB8E" w14:textId="76E87AFE" w:rsidR="009B3BE9" w:rsidRPr="00261CAB" w:rsidRDefault="009B3BE9" w:rsidP="006C7F40">
            <w:pPr>
              <w:autoSpaceDE w:val="0"/>
              <w:autoSpaceDN w:val="0"/>
              <w:adjustRightInd w:val="0"/>
              <w:contextualSpacing/>
              <w:jc w:val="both"/>
              <w:rPr>
                <w:rFonts w:ascii="Arial" w:hAnsi="Arial" w:cs="Arial"/>
                <w:bCs/>
                <w:color w:val="000000"/>
              </w:rPr>
            </w:pPr>
            <w:r w:rsidRPr="009B3BE9">
              <w:rPr>
                <w:rFonts w:ascii="Arial" w:hAnsi="Arial" w:cs="Arial"/>
                <w:bCs/>
                <w:color w:val="000000"/>
              </w:rPr>
              <w:t>Además, Don Wilberth indica la importancia y necesidad que desde el Despacho se otorgue un respaldo a todo al trabajo en el proceso de apertura de datos para que las personas enlaces de cada Dependencia, lo tomen en serio y hagan bien su trabajo.</w:t>
            </w:r>
          </w:p>
        </w:tc>
        <w:tc>
          <w:tcPr>
            <w:tcW w:w="43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CDE0590" w14:textId="4CF5F9BD" w:rsidR="00562F1A" w:rsidRPr="00261CAB" w:rsidRDefault="004662D8" w:rsidP="00F524F9">
            <w:pPr>
              <w:contextualSpacing/>
              <w:jc w:val="both"/>
              <w:rPr>
                <w:rFonts w:ascii="Arial" w:hAnsi="Arial" w:cs="Arial"/>
                <w:bCs/>
                <w:lang w:eastAsia="es-CR"/>
              </w:rPr>
            </w:pPr>
            <w:r>
              <w:rPr>
                <w:rFonts w:ascii="Arial" w:hAnsi="Arial" w:cs="Arial"/>
                <w:bCs/>
                <w:lang w:eastAsia="es-CR"/>
              </w:rPr>
              <w:t>La recomendación permanece invariable.</w:t>
            </w:r>
          </w:p>
        </w:tc>
      </w:tr>
    </w:tbl>
    <w:p w14:paraId="502E306D" w14:textId="77777777" w:rsidR="00562F1A" w:rsidRDefault="00562F1A" w:rsidP="006C7F40">
      <w:pPr>
        <w:contextualSpacing/>
        <w:jc w:val="both"/>
        <w:rPr>
          <w:rFonts w:ascii="Arial" w:hAnsi="Arial" w:cs="Arial"/>
          <w:b/>
          <w:sz w:val="18"/>
          <w:szCs w:val="18"/>
        </w:rPr>
      </w:pPr>
    </w:p>
    <w:p w14:paraId="1704A642" w14:textId="77777777" w:rsidR="0055222A" w:rsidRPr="005E501C" w:rsidRDefault="0055222A" w:rsidP="00F524F9">
      <w:pPr>
        <w:contextualSpacing/>
        <w:jc w:val="both"/>
        <w:rPr>
          <w:rFonts w:ascii="Arial" w:hAnsi="Arial" w:cs="Arial"/>
          <w:sz w:val="18"/>
          <w:szCs w:val="18"/>
        </w:rPr>
      </w:pPr>
      <w:r w:rsidRPr="005E501C">
        <w:rPr>
          <w:rFonts w:ascii="Arial" w:hAnsi="Arial" w:cs="Arial"/>
          <w:b/>
          <w:sz w:val="18"/>
          <w:szCs w:val="18"/>
        </w:rPr>
        <w:t>Fuente:</w:t>
      </w:r>
      <w:r w:rsidRPr="005E501C">
        <w:rPr>
          <w:rFonts w:ascii="Arial" w:hAnsi="Arial" w:cs="Arial"/>
          <w:sz w:val="18"/>
          <w:szCs w:val="18"/>
        </w:rPr>
        <w:t xml:space="preserve"> Acta de comunicación de resultados del estudio No. </w:t>
      </w:r>
      <w:r w:rsidR="00065069">
        <w:rPr>
          <w:rFonts w:ascii="Arial" w:hAnsi="Arial" w:cs="Arial"/>
          <w:sz w:val="18"/>
          <w:szCs w:val="18"/>
        </w:rPr>
        <w:t>0</w:t>
      </w:r>
      <w:r w:rsidR="00EB0625">
        <w:rPr>
          <w:rFonts w:ascii="Arial" w:hAnsi="Arial" w:cs="Arial"/>
          <w:sz w:val="18"/>
          <w:szCs w:val="18"/>
        </w:rPr>
        <w:t>45</w:t>
      </w:r>
      <w:r w:rsidR="00065069">
        <w:rPr>
          <w:rFonts w:ascii="Arial" w:hAnsi="Arial" w:cs="Arial"/>
          <w:sz w:val="18"/>
          <w:szCs w:val="18"/>
        </w:rPr>
        <w:t>-2021.</w:t>
      </w:r>
    </w:p>
    <w:p w14:paraId="286AF198" w14:textId="77777777" w:rsidR="00C41DCF" w:rsidRDefault="00C41DCF">
      <w:pPr>
        <w:contextualSpacing/>
        <w:rPr>
          <w:rFonts w:ascii="Arial" w:hAnsi="Arial" w:cs="Arial"/>
          <w:sz w:val="24"/>
          <w:szCs w:val="24"/>
        </w:rPr>
      </w:pPr>
      <w:r>
        <w:rPr>
          <w:rFonts w:ascii="Arial" w:hAnsi="Arial" w:cs="Arial"/>
          <w:sz w:val="24"/>
          <w:szCs w:val="24"/>
        </w:rPr>
        <w:br w:type="page"/>
      </w:r>
    </w:p>
    <w:p w14:paraId="29C30FDD" w14:textId="77777777" w:rsidR="00491E4E" w:rsidRPr="00491E4E" w:rsidRDefault="00491E4E">
      <w:pPr>
        <w:contextualSpacing/>
        <w:jc w:val="center"/>
        <w:rPr>
          <w:rFonts w:ascii="Arial" w:hAnsi="Arial" w:cs="Arial"/>
          <w:b/>
          <w:bCs/>
          <w:color w:val="44546A" w:themeColor="text2"/>
          <w:sz w:val="24"/>
          <w:szCs w:val="24"/>
        </w:rPr>
      </w:pPr>
      <w:r w:rsidRPr="00447DB7">
        <w:rPr>
          <w:rFonts w:ascii="Arial" w:hAnsi="Arial" w:cs="Arial"/>
          <w:b/>
          <w:bCs/>
          <w:color w:val="44546A" w:themeColor="text2"/>
          <w:sz w:val="24"/>
          <w:szCs w:val="24"/>
        </w:rPr>
        <w:lastRenderedPageBreak/>
        <w:t>ANEXO</w:t>
      </w:r>
      <w:r w:rsidRPr="00491E4E">
        <w:rPr>
          <w:rFonts w:ascii="Arial" w:hAnsi="Arial" w:cs="Arial"/>
          <w:b/>
          <w:bCs/>
          <w:color w:val="44546A" w:themeColor="text2"/>
          <w:sz w:val="24"/>
          <w:szCs w:val="24"/>
        </w:rPr>
        <w:t xml:space="preserve"> N°</w:t>
      </w:r>
      <w:r w:rsidR="00BA65E3">
        <w:rPr>
          <w:rFonts w:ascii="Arial" w:hAnsi="Arial" w:cs="Arial"/>
          <w:b/>
          <w:bCs/>
          <w:color w:val="44546A" w:themeColor="text2"/>
          <w:sz w:val="24"/>
          <w:szCs w:val="24"/>
        </w:rPr>
        <w:t>2</w:t>
      </w:r>
    </w:p>
    <w:p w14:paraId="3B445B3D" w14:textId="77777777" w:rsidR="00491E4E" w:rsidRDefault="00491E4E">
      <w:pPr>
        <w:contextualSpacing/>
        <w:jc w:val="center"/>
        <w:rPr>
          <w:rFonts w:ascii="Arial" w:hAnsi="Arial" w:cs="Arial"/>
          <w:b/>
          <w:bCs/>
          <w:color w:val="44546A" w:themeColor="text2"/>
          <w:sz w:val="24"/>
          <w:szCs w:val="24"/>
        </w:rPr>
      </w:pPr>
      <w:r w:rsidRPr="00491E4E">
        <w:rPr>
          <w:rFonts w:ascii="Arial" w:hAnsi="Arial" w:cs="Arial"/>
          <w:b/>
          <w:bCs/>
          <w:color w:val="44546A" w:themeColor="text2"/>
          <w:sz w:val="24"/>
          <w:szCs w:val="24"/>
        </w:rPr>
        <w:t>Datos incluidos en el enlace “Transparencia Hacendaria” y otros enlaces</w:t>
      </w:r>
    </w:p>
    <w:p w14:paraId="486D17B7" w14:textId="77777777" w:rsidR="00491E4E" w:rsidRDefault="007E4928">
      <w:pPr>
        <w:tabs>
          <w:tab w:val="left" w:pos="612"/>
        </w:tabs>
        <w:contextualSpacing/>
        <w:rPr>
          <w:rFonts w:ascii="Arial" w:hAnsi="Arial" w:cs="Arial"/>
          <w:b/>
          <w:bCs/>
          <w:color w:val="44546A" w:themeColor="text2"/>
          <w:sz w:val="24"/>
          <w:szCs w:val="24"/>
        </w:rPr>
      </w:pPr>
      <w:r>
        <w:rPr>
          <w:rFonts w:ascii="Arial" w:hAnsi="Arial" w:cs="Arial"/>
          <w:b/>
          <w:bCs/>
          <w:color w:val="44546A" w:themeColor="text2"/>
          <w:sz w:val="24"/>
          <w:szCs w:val="24"/>
        </w:rPr>
        <w:tab/>
      </w:r>
    </w:p>
    <w:tbl>
      <w:tblPr>
        <w:tblW w:w="9782" w:type="dxa"/>
        <w:tblInd w:w="-431" w:type="dxa"/>
        <w:tblCellMar>
          <w:left w:w="70" w:type="dxa"/>
          <w:right w:w="70" w:type="dxa"/>
        </w:tblCellMar>
        <w:tblLook w:val="04A0" w:firstRow="1" w:lastRow="0" w:firstColumn="1" w:lastColumn="0" w:noHBand="0" w:noVBand="1"/>
      </w:tblPr>
      <w:tblGrid>
        <w:gridCol w:w="3970"/>
        <w:gridCol w:w="3969"/>
        <w:gridCol w:w="1843"/>
      </w:tblGrid>
      <w:tr w:rsidR="009807E4" w:rsidRPr="00A23C23" w14:paraId="756F3977" w14:textId="77777777" w:rsidTr="00A23C23">
        <w:trPr>
          <w:trHeight w:val="540"/>
          <w:tblHeader/>
        </w:trPr>
        <w:tc>
          <w:tcPr>
            <w:tcW w:w="397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33982E" w14:textId="77777777" w:rsidR="007E4928" w:rsidRPr="00A23C23" w:rsidRDefault="00A23C23" w:rsidP="008D0837">
            <w:pPr>
              <w:contextualSpacing/>
              <w:jc w:val="center"/>
              <w:rPr>
                <w:rFonts w:ascii="Arial" w:eastAsia="Times New Roman" w:hAnsi="Arial" w:cs="Arial"/>
                <w:b/>
                <w:bCs/>
                <w:color w:val="FFFFFF" w:themeColor="background1"/>
                <w:sz w:val="20"/>
                <w:szCs w:val="20"/>
                <w:lang w:eastAsia="es-CR"/>
              </w:rPr>
            </w:pPr>
            <w:bookmarkStart w:id="93" w:name="_Hlk103255252"/>
            <w:r>
              <w:rPr>
                <w:rFonts w:ascii="Arial" w:eastAsia="Times New Roman" w:hAnsi="Arial" w:cs="Arial"/>
                <w:b/>
                <w:bCs/>
                <w:color w:val="FFFFFF" w:themeColor="background1"/>
                <w:sz w:val="20"/>
                <w:szCs w:val="20"/>
                <w:lang w:eastAsia="es-CR"/>
              </w:rPr>
              <w:t xml:space="preserve">Datos que deben estar disponibles según </w:t>
            </w:r>
            <w:r w:rsidR="007E4928" w:rsidRPr="00A23C23">
              <w:rPr>
                <w:rFonts w:ascii="Arial" w:eastAsia="Times New Roman" w:hAnsi="Arial" w:cs="Arial"/>
                <w:b/>
                <w:bCs/>
                <w:color w:val="FFFFFF" w:themeColor="background1"/>
                <w:sz w:val="20"/>
                <w:szCs w:val="20"/>
                <w:lang w:eastAsia="es-CR"/>
              </w:rPr>
              <w:t>Decreto</w:t>
            </w:r>
            <w:r w:rsidR="006650F2" w:rsidRPr="00A23C23">
              <w:rPr>
                <w:rFonts w:ascii="Arial" w:eastAsia="Times New Roman" w:hAnsi="Arial" w:cs="Arial"/>
                <w:b/>
                <w:bCs/>
                <w:color w:val="FFFFFF" w:themeColor="background1"/>
                <w:sz w:val="20"/>
                <w:szCs w:val="20"/>
                <w:lang w:eastAsia="es-CR"/>
              </w:rPr>
              <w:t xml:space="preserve"> 40199-MP (Art.17)</w:t>
            </w:r>
          </w:p>
        </w:tc>
        <w:tc>
          <w:tcPr>
            <w:tcW w:w="3969" w:type="dxa"/>
            <w:tcBorders>
              <w:top w:val="single" w:sz="4" w:space="0" w:color="auto"/>
              <w:left w:val="nil"/>
              <w:bottom w:val="single" w:sz="4" w:space="0" w:color="auto"/>
              <w:right w:val="single" w:sz="4" w:space="0" w:color="auto"/>
            </w:tcBorders>
            <w:shd w:val="clear" w:color="auto" w:fill="002060"/>
            <w:vAlign w:val="center"/>
            <w:hideMark/>
          </w:tcPr>
          <w:p w14:paraId="0261E83E" w14:textId="77777777" w:rsidR="007E4928" w:rsidRPr="00A23C23" w:rsidRDefault="007E4928" w:rsidP="008D0837">
            <w:pPr>
              <w:contextualSpacing/>
              <w:jc w:val="center"/>
              <w:rPr>
                <w:rFonts w:ascii="Arial" w:eastAsia="Times New Roman" w:hAnsi="Arial" w:cs="Arial"/>
                <w:b/>
                <w:bCs/>
                <w:color w:val="FFFFFF" w:themeColor="background1"/>
                <w:sz w:val="20"/>
                <w:szCs w:val="20"/>
                <w:lang w:eastAsia="es-CR"/>
              </w:rPr>
            </w:pPr>
            <w:r w:rsidRPr="00A23C23">
              <w:rPr>
                <w:rFonts w:ascii="Arial" w:eastAsia="Times New Roman" w:hAnsi="Arial" w:cs="Arial"/>
                <w:b/>
                <w:bCs/>
                <w:color w:val="FFFFFF" w:themeColor="background1"/>
                <w:sz w:val="20"/>
                <w:szCs w:val="20"/>
                <w:lang w:eastAsia="es-CR"/>
              </w:rPr>
              <w:t xml:space="preserve">Contenido </w:t>
            </w:r>
            <w:r w:rsidR="006650F2" w:rsidRPr="00A23C23">
              <w:rPr>
                <w:rFonts w:ascii="Arial" w:eastAsia="Times New Roman" w:hAnsi="Arial" w:cs="Arial"/>
                <w:b/>
                <w:bCs/>
                <w:color w:val="FFFFFF" w:themeColor="background1"/>
                <w:sz w:val="20"/>
                <w:szCs w:val="20"/>
                <w:lang w:eastAsia="es-CR"/>
              </w:rPr>
              <w:t>en el enlace</w:t>
            </w:r>
          </w:p>
        </w:tc>
        <w:tc>
          <w:tcPr>
            <w:tcW w:w="1843" w:type="dxa"/>
            <w:tcBorders>
              <w:top w:val="single" w:sz="4" w:space="0" w:color="auto"/>
              <w:left w:val="nil"/>
              <w:bottom w:val="single" w:sz="4" w:space="0" w:color="auto"/>
              <w:right w:val="single" w:sz="4" w:space="0" w:color="auto"/>
            </w:tcBorders>
            <w:shd w:val="clear" w:color="auto" w:fill="002060"/>
            <w:noWrap/>
            <w:vAlign w:val="center"/>
            <w:hideMark/>
          </w:tcPr>
          <w:p w14:paraId="0117499A" w14:textId="77777777" w:rsidR="007E4928" w:rsidRPr="00A23C23" w:rsidRDefault="007E4928" w:rsidP="008D0837">
            <w:pPr>
              <w:contextualSpacing/>
              <w:jc w:val="center"/>
              <w:rPr>
                <w:rFonts w:ascii="Arial" w:eastAsia="Times New Roman" w:hAnsi="Arial" w:cs="Arial"/>
                <w:b/>
                <w:bCs/>
                <w:color w:val="FFFFFF" w:themeColor="background1"/>
                <w:sz w:val="20"/>
                <w:szCs w:val="20"/>
                <w:lang w:eastAsia="es-CR"/>
              </w:rPr>
            </w:pPr>
            <w:r w:rsidRPr="00A23C23">
              <w:rPr>
                <w:rFonts w:ascii="Arial" w:eastAsia="Times New Roman" w:hAnsi="Arial" w:cs="Arial"/>
                <w:b/>
                <w:bCs/>
                <w:color w:val="FFFFFF" w:themeColor="background1"/>
                <w:sz w:val="20"/>
                <w:szCs w:val="20"/>
                <w:lang w:eastAsia="es-CR"/>
              </w:rPr>
              <w:t>Estado</w:t>
            </w:r>
          </w:p>
        </w:tc>
      </w:tr>
      <w:tr w:rsidR="007E4928" w:rsidRPr="00A23C23" w14:paraId="1C4FA485" w14:textId="77777777" w:rsidTr="00A23C23">
        <w:trPr>
          <w:trHeight w:val="82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6FC749F"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Listado de funcionarios institucionales con el teléfono, puesto y correo del contacto.</w:t>
            </w:r>
          </w:p>
        </w:tc>
        <w:tc>
          <w:tcPr>
            <w:tcW w:w="3969" w:type="dxa"/>
            <w:tcBorders>
              <w:top w:val="nil"/>
              <w:left w:val="nil"/>
              <w:bottom w:val="single" w:sz="4" w:space="0" w:color="auto"/>
              <w:right w:val="single" w:sz="4" w:space="0" w:color="auto"/>
            </w:tcBorders>
            <w:shd w:val="clear" w:color="auto" w:fill="auto"/>
            <w:vAlign w:val="center"/>
            <w:hideMark/>
          </w:tcPr>
          <w:p w14:paraId="5E12E23C"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Directorio Telefónico por dependencia                       Modulo de Transparencia se incluyen los correos electrónicos oficiales de las dependencias</w:t>
            </w:r>
          </w:p>
        </w:tc>
        <w:tc>
          <w:tcPr>
            <w:tcW w:w="1843" w:type="dxa"/>
            <w:tcBorders>
              <w:top w:val="nil"/>
              <w:left w:val="nil"/>
              <w:bottom w:val="single" w:sz="4" w:space="0" w:color="auto"/>
              <w:right w:val="single" w:sz="4" w:space="0" w:color="auto"/>
            </w:tcBorders>
            <w:shd w:val="clear" w:color="auto" w:fill="auto"/>
            <w:noWrap/>
            <w:vAlign w:val="center"/>
            <w:hideMark/>
          </w:tcPr>
          <w:p w14:paraId="157DF5E9" w14:textId="77777777" w:rsidR="007E4928" w:rsidRPr="00A23C23" w:rsidRDefault="007E4928"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Incompleto</w:t>
            </w:r>
          </w:p>
        </w:tc>
      </w:tr>
      <w:tr w:rsidR="007E4928" w:rsidRPr="00A23C23" w14:paraId="7EF74292" w14:textId="77777777" w:rsidTr="00A23C23">
        <w:trPr>
          <w:trHeight w:val="776"/>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667309F"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los Presupuestos institucionales, su ejecución y evaluación.</w:t>
            </w:r>
          </w:p>
        </w:tc>
        <w:tc>
          <w:tcPr>
            <w:tcW w:w="3969" w:type="dxa"/>
            <w:tcBorders>
              <w:top w:val="nil"/>
              <w:left w:val="nil"/>
              <w:bottom w:val="single" w:sz="4" w:space="0" w:color="auto"/>
              <w:right w:val="single" w:sz="4" w:space="0" w:color="auto"/>
            </w:tcBorders>
            <w:shd w:val="clear" w:color="auto" w:fill="auto"/>
            <w:vAlign w:val="center"/>
            <w:hideMark/>
          </w:tcPr>
          <w:p w14:paraId="2FC12758"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xml:space="preserve">Información actualizada a </w:t>
            </w:r>
            <w:r w:rsidR="009807E4" w:rsidRPr="00A23C23">
              <w:rPr>
                <w:rFonts w:ascii="Arial" w:eastAsia="Times New Roman" w:hAnsi="Arial" w:cs="Arial"/>
                <w:color w:val="000000"/>
                <w:sz w:val="20"/>
                <w:szCs w:val="20"/>
                <w:lang w:eastAsia="es-CR"/>
              </w:rPr>
              <w:t>febrero</w:t>
            </w:r>
            <w:r w:rsidRPr="00A23C23">
              <w:rPr>
                <w:rFonts w:ascii="Arial" w:eastAsia="Times New Roman" w:hAnsi="Arial" w:cs="Arial"/>
                <w:color w:val="000000"/>
                <w:sz w:val="20"/>
                <w:szCs w:val="20"/>
                <w:lang w:eastAsia="es-CR"/>
              </w:rPr>
              <w:t xml:space="preserve"> 2021. No se incluye información de Presupuesto 2021</w:t>
            </w:r>
          </w:p>
        </w:tc>
        <w:tc>
          <w:tcPr>
            <w:tcW w:w="1843" w:type="dxa"/>
            <w:tcBorders>
              <w:top w:val="nil"/>
              <w:left w:val="nil"/>
              <w:bottom w:val="single" w:sz="4" w:space="0" w:color="auto"/>
              <w:right w:val="single" w:sz="4" w:space="0" w:color="auto"/>
            </w:tcBorders>
            <w:shd w:val="clear" w:color="auto" w:fill="auto"/>
            <w:vAlign w:val="center"/>
            <w:hideMark/>
          </w:tcPr>
          <w:p w14:paraId="200F1DCF" w14:textId="77777777" w:rsidR="007E4928" w:rsidRPr="00A23C23" w:rsidRDefault="006650F2"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Información en enlace de Presupuesto Abierto</w:t>
            </w:r>
          </w:p>
        </w:tc>
      </w:tr>
      <w:tr w:rsidR="007E4928" w:rsidRPr="00A23C23" w14:paraId="33D75404" w14:textId="77777777" w:rsidTr="00A23C23">
        <w:trPr>
          <w:trHeight w:val="78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EC1D9F7"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los resultados del proceso de evaluación de desempeño de los funcionarios.</w:t>
            </w:r>
          </w:p>
        </w:tc>
        <w:tc>
          <w:tcPr>
            <w:tcW w:w="3969" w:type="dxa"/>
            <w:tcBorders>
              <w:top w:val="nil"/>
              <w:left w:val="nil"/>
              <w:bottom w:val="single" w:sz="4" w:space="0" w:color="auto"/>
              <w:right w:val="single" w:sz="4" w:space="0" w:color="auto"/>
            </w:tcBorders>
            <w:shd w:val="clear" w:color="auto" w:fill="auto"/>
            <w:vAlign w:val="center"/>
            <w:hideMark/>
          </w:tcPr>
          <w:p w14:paraId="1DD3CD8C" w14:textId="77777777" w:rsidR="007E4928" w:rsidRPr="00A23C23" w:rsidRDefault="007E4928"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Información 2015-2019</w:t>
            </w:r>
          </w:p>
        </w:tc>
        <w:tc>
          <w:tcPr>
            <w:tcW w:w="1843" w:type="dxa"/>
            <w:tcBorders>
              <w:top w:val="nil"/>
              <w:left w:val="nil"/>
              <w:bottom w:val="single" w:sz="4" w:space="0" w:color="auto"/>
              <w:right w:val="single" w:sz="4" w:space="0" w:color="auto"/>
            </w:tcBorders>
            <w:shd w:val="clear" w:color="auto" w:fill="auto"/>
            <w:noWrap/>
            <w:vAlign w:val="center"/>
            <w:hideMark/>
          </w:tcPr>
          <w:p w14:paraId="61812E3A" w14:textId="77777777" w:rsidR="007E4928" w:rsidRPr="00A23C23" w:rsidRDefault="007E4928"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Incompleto</w:t>
            </w:r>
          </w:p>
        </w:tc>
      </w:tr>
      <w:tr w:rsidR="007E4928" w:rsidRPr="00A23C23" w14:paraId="12049304" w14:textId="77777777" w:rsidTr="00A23C23">
        <w:trPr>
          <w:trHeight w:val="576"/>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BEFB56"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las planillas con el salario bruto.</w:t>
            </w:r>
          </w:p>
        </w:tc>
        <w:tc>
          <w:tcPr>
            <w:tcW w:w="3969" w:type="dxa"/>
            <w:tcBorders>
              <w:top w:val="nil"/>
              <w:left w:val="nil"/>
              <w:bottom w:val="single" w:sz="4" w:space="0" w:color="auto"/>
              <w:right w:val="single" w:sz="4" w:space="0" w:color="auto"/>
            </w:tcBorders>
            <w:shd w:val="clear" w:color="auto" w:fill="auto"/>
            <w:vAlign w:val="center"/>
            <w:hideMark/>
          </w:tcPr>
          <w:p w14:paraId="47BD02EF" w14:textId="77777777" w:rsidR="007E4928" w:rsidRPr="00A23C23" w:rsidRDefault="007E4928"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Información marzo 2022</w:t>
            </w:r>
          </w:p>
        </w:tc>
        <w:tc>
          <w:tcPr>
            <w:tcW w:w="1843" w:type="dxa"/>
            <w:tcBorders>
              <w:top w:val="nil"/>
              <w:left w:val="nil"/>
              <w:bottom w:val="single" w:sz="4" w:space="0" w:color="auto"/>
              <w:right w:val="single" w:sz="4" w:space="0" w:color="auto"/>
            </w:tcBorders>
            <w:shd w:val="clear" w:color="auto" w:fill="auto"/>
            <w:noWrap/>
            <w:vAlign w:val="center"/>
            <w:hideMark/>
          </w:tcPr>
          <w:p w14:paraId="39266BDB" w14:textId="77777777" w:rsidR="007E4928" w:rsidRPr="00A23C23" w:rsidRDefault="007E4928"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Actualizado</w:t>
            </w:r>
          </w:p>
        </w:tc>
      </w:tr>
      <w:tr w:rsidR="007E4928" w:rsidRPr="00A23C23" w14:paraId="33B91568" w14:textId="77777777" w:rsidTr="00A23C23">
        <w:trPr>
          <w:trHeight w:val="552"/>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488CDDA"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soporte de las memorias anuales y otros informes de gestión.</w:t>
            </w:r>
          </w:p>
        </w:tc>
        <w:tc>
          <w:tcPr>
            <w:tcW w:w="3969" w:type="dxa"/>
            <w:tcBorders>
              <w:top w:val="nil"/>
              <w:left w:val="nil"/>
              <w:bottom w:val="single" w:sz="4" w:space="0" w:color="auto"/>
              <w:right w:val="single" w:sz="4" w:space="0" w:color="auto"/>
            </w:tcBorders>
            <w:shd w:val="clear" w:color="auto" w:fill="auto"/>
            <w:vAlign w:val="center"/>
            <w:hideMark/>
          </w:tcPr>
          <w:p w14:paraId="1F4E1663"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Informes Anuales de Gestión 2010</w:t>
            </w:r>
            <w:r w:rsidR="006650F2" w:rsidRPr="00A23C23">
              <w:rPr>
                <w:rFonts w:ascii="Arial" w:eastAsia="Times New Roman" w:hAnsi="Arial" w:cs="Arial"/>
                <w:color w:val="000000"/>
                <w:sz w:val="20"/>
                <w:szCs w:val="20"/>
                <w:lang w:eastAsia="es-CR"/>
              </w:rPr>
              <w:t xml:space="preserve"> -</w:t>
            </w:r>
            <w:r w:rsidRPr="00A23C23">
              <w:rPr>
                <w:rFonts w:ascii="Arial" w:eastAsia="Times New Roman" w:hAnsi="Arial" w:cs="Arial"/>
                <w:color w:val="000000"/>
                <w:sz w:val="20"/>
                <w:szCs w:val="20"/>
                <w:lang w:eastAsia="es-CR"/>
              </w:rPr>
              <w:t xml:space="preserve"> 2020        </w:t>
            </w:r>
            <w:r w:rsidR="006650F2" w:rsidRPr="00A23C23">
              <w:rPr>
                <w:rFonts w:ascii="Arial" w:eastAsia="Times New Roman" w:hAnsi="Arial" w:cs="Arial"/>
                <w:color w:val="000000"/>
                <w:sz w:val="20"/>
                <w:szCs w:val="20"/>
                <w:lang w:eastAsia="es-CR"/>
              </w:rPr>
              <w:t xml:space="preserve">                                     </w:t>
            </w:r>
            <w:r w:rsidRPr="00A23C23">
              <w:rPr>
                <w:rFonts w:ascii="Arial" w:eastAsia="Times New Roman" w:hAnsi="Arial" w:cs="Arial"/>
                <w:color w:val="000000"/>
                <w:sz w:val="20"/>
                <w:szCs w:val="20"/>
                <w:lang w:eastAsia="es-CR"/>
              </w:rPr>
              <w:t xml:space="preserve">  Informes de Gestión 2014-2021                                </w:t>
            </w:r>
          </w:p>
        </w:tc>
        <w:tc>
          <w:tcPr>
            <w:tcW w:w="1843" w:type="dxa"/>
            <w:tcBorders>
              <w:top w:val="nil"/>
              <w:left w:val="nil"/>
              <w:bottom w:val="single" w:sz="4" w:space="0" w:color="auto"/>
              <w:right w:val="single" w:sz="4" w:space="0" w:color="auto"/>
            </w:tcBorders>
            <w:shd w:val="clear" w:color="auto" w:fill="auto"/>
            <w:noWrap/>
            <w:vAlign w:val="center"/>
            <w:hideMark/>
          </w:tcPr>
          <w:p w14:paraId="11BDA6EA" w14:textId="77777777" w:rsidR="007E4928" w:rsidRPr="00A23C23" w:rsidRDefault="007E4928" w:rsidP="008D0837">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Incompleto</w:t>
            </w:r>
          </w:p>
        </w:tc>
      </w:tr>
      <w:tr w:rsidR="007E4928" w:rsidRPr="00A23C23" w14:paraId="00DD1954" w14:textId="77777777" w:rsidTr="00A23C23">
        <w:trPr>
          <w:trHeight w:val="1724"/>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E770BAC"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soporte de los informes de la auditoria interna sobre la gestión institucional, los informes de la Contraloría General de la Republica o Auditorías Externas si los hubiere, y los respectivos informes de seguimiento a su cumplimiento.</w:t>
            </w:r>
          </w:p>
        </w:tc>
        <w:tc>
          <w:tcPr>
            <w:tcW w:w="3969" w:type="dxa"/>
            <w:tcBorders>
              <w:top w:val="nil"/>
              <w:left w:val="nil"/>
              <w:bottom w:val="single" w:sz="4" w:space="0" w:color="auto"/>
              <w:right w:val="single" w:sz="4" w:space="0" w:color="auto"/>
            </w:tcBorders>
            <w:shd w:val="clear" w:color="auto" w:fill="auto"/>
            <w:vAlign w:val="center"/>
            <w:hideMark/>
          </w:tcPr>
          <w:p w14:paraId="1807BDF9" w14:textId="77777777" w:rsidR="007E4928" w:rsidRPr="00A23C23" w:rsidRDefault="007E4928"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xml:space="preserve">Informes de Auditoria 2010-2021                    Advertencias y Asesorías 2018-2021                          Matriz de Seguimiento a </w:t>
            </w:r>
            <w:r w:rsidR="009807E4" w:rsidRPr="00A23C23">
              <w:rPr>
                <w:rFonts w:ascii="Arial" w:eastAsia="Times New Roman" w:hAnsi="Arial" w:cs="Arial"/>
                <w:color w:val="000000"/>
                <w:sz w:val="20"/>
                <w:szCs w:val="20"/>
                <w:lang w:eastAsia="es-CR"/>
              </w:rPr>
              <w:t>febrero</w:t>
            </w:r>
            <w:r w:rsidRPr="00A23C23">
              <w:rPr>
                <w:rFonts w:ascii="Arial" w:eastAsia="Times New Roman" w:hAnsi="Arial" w:cs="Arial"/>
                <w:color w:val="000000"/>
                <w:sz w:val="20"/>
                <w:szCs w:val="20"/>
                <w:lang w:eastAsia="es-CR"/>
              </w:rPr>
              <w:t xml:space="preserve"> 2022                 Plan </w:t>
            </w:r>
            <w:r w:rsidR="009807E4" w:rsidRPr="00A23C23">
              <w:rPr>
                <w:rFonts w:ascii="Arial" w:eastAsia="Times New Roman" w:hAnsi="Arial" w:cs="Arial"/>
                <w:color w:val="000000"/>
                <w:sz w:val="20"/>
                <w:szCs w:val="20"/>
                <w:lang w:eastAsia="es-CR"/>
              </w:rPr>
              <w:t>Estratégico</w:t>
            </w:r>
            <w:r w:rsidRPr="00A23C23">
              <w:rPr>
                <w:rFonts w:ascii="Arial" w:eastAsia="Times New Roman" w:hAnsi="Arial" w:cs="Arial"/>
                <w:color w:val="000000"/>
                <w:sz w:val="20"/>
                <w:szCs w:val="20"/>
                <w:lang w:eastAsia="es-CR"/>
              </w:rPr>
              <w:t xml:space="preserve"> Seguimiento 2019-2023             Plan Operativo (Se encuentra hasta 2019)</w:t>
            </w:r>
          </w:p>
        </w:tc>
        <w:tc>
          <w:tcPr>
            <w:tcW w:w="1843" w:type="dxa"/>
            <w:tcBorders>
              <w:top w:val="nil"/>
              <w:left w:val="nil"/>
              <w:bottom w:val="single" w:sz="4" w:space="0" w:color="auto"/>
              <w:right w:val="single" w:sz="4" w:space="0" w:color="auto"/>
            </w:tcBorders>
            <w:shd w:val="clear" w:color="auto" w:fill="auto"/>
            <w:noWrap/>
            <w:vAlign w:val="center"/>
            <w:hideMark/>
          </w:tcPr>
          <w:p w14:paraId="7C0FAFED" w14:textId="77777777" w:rsidR="007E4928" w:rsidRPr="00A23C23" w:rsidRDefault="007E4928"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Incompleto</w:t>
            </w:r>
          </w:p>
        </w:tc>
      </w:tr>
      <w:tr w:rsidR="009807E4" w:rsidRPr="00A23C23" w14:paraId="4C9B7324" w14:textId="77777777" w:rsidTr="00A23C23">
        <w:trPr>
          <w:trHeight w:val="1116"/>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21534E"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soporte de las actas de los órganos colegiados establecidos por ley, quedando a salvo información de acceso restringido por expresa disposición legal.</w:t>
            </w:r>
          </w:p>
        </w:tc>
        <w:tc>
          <w:tcPr>
            <w:tcW w:w="3969" w:type="dxa"/>
            <w:tcBorders>
              <w:top w:val="nil"/>
              <w:left w:val="nil"/>
              <w:bottom w:val="single" w:sz="4" w:space="0" w:color="auto"/>
              <w:right w:val="single" w:sz="4" w:space="0" w:color="auto"/>
            </w:tcBorders>
            <w:shd w:val="clear" w:color="auto" w:fill="auto"/>
            <w:vAlign w:val="center"/>
            <w:hideMark/>
          </w:tcPr>
          <w:p w14:paraId="42859C1F"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c>
          <w:tcPr>
            <w:tcW w:w="1843" w:type="dxa"/>
            <w:tcBorders>
              <w:top w:val="nil"/>
              <w:left w:val="nil"/>
              <w:bottom w:val="single" w:sz="4" w:space="0" w:color="auto"/>
              <w:right w:val="single" w:sz="4" w:space="0" w:color="auto"/>
            </w:tcBorders>
            <w:shd w:val="clear" w:color="auto" w:fill="auto"/>
            <w:noWrap/>
            <w:vAlign w:val="center"/>
            <w:hideMark/>
          </w:tcPr>
          <w:p w14:paraId="1AC32CD4"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r>
      <w:tr w:rsidR="009807E4" w:rsidRPr="00A23C23" w14:paraId="5E8E0DED" w14:textId="77777777" w:rsidTr="00A23C23">
        <w:trPr>
          <w:trHeight w:val="83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9D19C7"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generados en las etapas de los procesos de contratación administrativas de la institución.</w:t>
            </w:r>
          </w:p>
        </w:tc>
        <w:tc>
          <w:tcPr>
            <w:tcW w:w="3969" w:type="dxa"/>
            <w:tcBorders>
              <w:top w:val="nil"/>
              <w:left w:val="nil"/>
              <w:bottom w:val="single" w:sz="4" w:space="0" w:color="auto"/>
              <w:right w:val="single" w:sz="4" w:space="0" w:color="auto"/>
            </w:tcBorders>
            <w:shd w:val="clear" w:color="auto" w:fill="auto"/>
            <w:vAlign w:val="center"/>
            <w:hideMark/>
          </w:tcPr>
          <w:p w14:paraId="5FF297C5"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Datos de contrataciones 2016 a Set 2021</w:t>
            </w:r>
          </w:p>
        </w:tc>
        <w:tc>
          <w:tcPr>
            <w:tcW w:w="1843" w:type="dxa"/>
            <w:tcBorders>
              <w:top w:val="nil"/>
              <w:left w:val="nil"/>
              <w:bottom w:val="single" w:sz="4" w:space="0" w:color="auto"/>
              <w:right w:val="single" w:sz="4" w:space="0" w:color="auto"/>
            </w:tcBorders>
            <w:shd w:val="clear" w:color="auto" w:fill="auto"/>
            <w:noWrap/>
            <w:vAlign w:val="center"/>
            <w:hideMark/>
          </w:tcPr>
          <w:p w14:paraId="78B54E69"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Incompleto</w:t>
            </w:r>
          </w:p>
        </w:tc>
      </w:tr>
      <w:tr w:rsidR="009807E4" w:rsidRPr="00A23C23" w14:paraId="444175AA" w14:textId="77777777" w:rsidTr="00A23C23">
        <w:trPr>
          <w:trHeight w:val="1184"/>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AB919A3"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solicitudes de información, peticiones, denuncias y sugerencias para el mejoramiento de la función de la institución, así como cualquier otro medio de participación ciudadana.</w:t>
            </w:r>
          </w:p>
        </w:tc>
        <w:tc>
          <w:tcPr>
            <w:tcW w:w="3969" w:type="dxa"/>
            <w:tcBorders>
              <w:top w:val="nil"/>
              <w:left w:val="nil"/>
              <w:bottom w:val="single" w:sz="4" w:space="0" w:color="auto"/>
              <w:right w:val="single" w:sz="4" w:space="0" w:color="auto"/>
            </w:tcBorders>
            <w:shd w:val="clear" w:color="auto" w:fill="auto"/>
            <w:vAlign w:val="center"/>
            <w:hideMark/>
          </w:tcPr>
          <w:p w14:paraId="7A194233"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c>
          <w:tcPr>
            <w:tcW w:w="1843" w:type="dxa"/>
            <w:tcBorders>
              <w:top w:val="nil"/>
              <w:left w:val="nil"/>
              <w:bottom w:val="single" w:sz="4" w:space="0" w:color="auto"/>
              <w:right w:val="single" w:sz="4" w:space="0" w:color="auto"/>
            </w:tcBorders>
            <w:shd w:val="clear" w:color="auto" w:fill="auto"/>
            <w:noWrap/>
            <w:vAlign w:val="center"/>
            <w:hideMark/>
          </w:tcPr>
          <w:p w14:paraId="360DA360"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r>
      <w:tr w:rsidR="009807E4" w:rsidRPr="00A23C23" w14:paraId="560847B1" w14:textId="77777777" w:rsidTr="00A23C23">
        <w:trPr>
          <w:trHeight w:val="163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E4BC1CB"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los subsidios, becas, donaciones, exoneraciones o cualquier otra transferencia o beneficio otorgado a personas particulares, sin perjuicio de lo determinado en la Ley de Protección de la Persona Frente al Tratamiento de sus Datos Personales, norma número 8968.</w:t>
            </w:r>
          </w:p>
        </w:tc>
        <w:tc>
          <w:tcPr>
            <w:tcW w:w="3969" w:type="dxa"/>
            <w:tcBorders>
              <w:top w:val="nil"/>
              <w:left w:val="nil"/>
              <w:bottom w:val="single" w:sz="4" w:space="0" w:color="auto"/>
              <w:right w:val="single" w:sz="4" w:space="0" w:color="auto"/>
            </w:tcBorders>
            <w:shd w:val="clear" w:color="auto" w:fill="auto"/>
            <w:vAlign w:val="center"/>
            <w:hideMark/>
          </w:tcPr>
          <w:p w14:paraId="5B5643B7"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c>
          <w:tcPr>
            <w:tcW w:w="1843" w:type="dxa"/>
            <w:tcBorders>
              <w:top w:val="nil"/>
              <w:left w:val="nil"/>
              <w:bottom w:val="single" w:sz="4" w:space="0" w:color="auto"/>
              <w:right w:val="single" w:sz="4" w:space="0" w:color="auto"/>
            </w:tcBorders>
            <w:shd w:val="clear" w:color="auto" w:fill="auto"/>
            <w:noWrap/>
            <w:vAlign w:val="center"/>
            <w:hideMark/>
          </w:tcPr>
          <w:p w14:paraId="17709B73"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r>
      <w:tr w:rsidR="009807E4" w:rsidRPr="00A23C23" w14:paraId="71E54968" w14:textId="77777777" w:rsidTr="00A23C23">
        <w:trPr>
          <w:trHeight w:val="110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B344FE"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lastRenderedPageBreak/>
              <w:t>● Datos de soporte de los informes de viajes, gastos de representación, costos de viajes, pagos por concepto de viáticos de los funcionarios de la institución, entre otros.</w:t>
            </w:r>
          </w:p>
        </w:tc>
        <w:tc>
          <w:tcPr>
            <w:tcW w:w="3969" w:type="dxa"/>
            <w:tcBorders>
              <w:top w:val="nil"/>
              <w:left w:val="nil"/>
              <w:bottom w:val="single" w:sz="4" w:space="0" w:color="auto"/>
              <w:right w:val="single" w:sz="4" w:space="0" w:color="auto"/>
            </w:tcBorders>
            <w:shd w:val="clear" w:color="auto" w:fill="auto"/>
            <w:vAlign w:val="center"/>
            <w:hideMark/>
          </w:tcPr>
          <w:p w14:paraId="766A8921"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c>
          <w:tcPr>
            <w:tcW w:w="1843" w:type="dxa"/>
            <w:tcBorders>
              <w:top w:val="nil"/>
              <w:left w:val="nil"/>
              <w:bottom w:val="single" w:sz="4" w:space="0" w:color="auto"/>
              <w:right w:val="single" w:sz="4" w:space="0" w:color="auto"/>
            </w:tcBorders>
            <w:shd w:val="clear" w:color="auto" w:fill="auto"/>
            <w:noWrap/>
            <w:vAlign w:val="center"/>
            <w:hideMark/>
          </w:tcPr>
          <w:p w14:paraId="701BB46A"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r>
      <w:tr w:rsidR="009807E4" w:rsidRPr="00A23C23" w14:paraId="7DE746A8" w14:textId="77777777" w:rsidTr="00A23C23">
        <w:trPr>
          <w:trHeight w:val="512"/>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43E0136"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atestados y calidades de las personas funcionarias de más jerarquía</w:t>
            </w:r>
          </w:p>
        </w:tc>
        <w:tc>
          <w:tcPr>
            <w:tcW w:w="3969" w:type="dxa"/>
            <w:tcBorders>
              <w:top w:val="nil"/>
              <w:left w:val="nil"/>
              <w:bottom w:val="single" w:sz="4" w:space="0" w:color="auto"/>
              <w:right w:val="single" w:sz="4" w:space="0" w:color="auto"/>
            </w:tcBorders>
            <w:shd w:val="clear" w:color="auto" w:fill="auto"/>
            <w:vAlign w:val="center"/>
            <w:hideMark/>
          </w:tcPr>
          <w:p w14:paraId="59C133C8"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xml:space="preserve">CV de </w:t>
            </w:r>
            <w:proofErr w:type="gramStart"/>
            <w:r w:rsidRPr="00A23C23">
              <w:rPr>
                <w:rFonts w:ascii="Arial" w:eastAsia="Times New Roman" w:hAnsi="Arial" w:cs="Arial"/>
                <w:color w:val="000000"/>
                <w:sz w:val="20"/>
                <w:szCs w:val="20"/>
                <w:lang w:eastAsia="es-CR"/>
              </w:rPr>
              <w:t>Ministro</w:t>
            </w:r>
            <w:proofErr w:type="gramEnd"/>
            <w:r w:rsidRPr="00A23C23">
              <w:rPr>
                <w:rFonts w:ascii="Arial" w:eastAsia="Times New Roman" w:hAnsi="Arial" w:cs="Arial"/>
                <w:color w:val="000000"/>
                <w:sz w:val="20"/>
                <w:szCs w:val="20"/>
                <w:lang w:eastAsia="es-CR"/>
              </w:rPr>
              <w:t xml:space="preserve"> y Viceministros</w:t>
            </w:r>
          </w:p>
        </w:tc>
        <w:tc>
          <w:tcPr>
            <w:tcW w:w="1843" w:type="dxa"/>
            <w:tcBorders>
              <w:top w:val="nil"/>
              <w:left w:val="nil"/>
              <w:bottom w:val="single" w:sz="4" w:space="0" w:color="auto"/>
              <w:right w:val="single" w:sz="4" w:space="0" w:color="auto"/>
            </w:tcBorders>
            <w:shd w:val="clear" w:color="auto" w:fill="auto"/>
            <w:noWrap/>
            <w:vAlign w:val="center"/>
            <w:hideMark/>
          </w:tcPr>
          <w:p w14:paraId="63EC5E37"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xml:space="preserve">Desactualizado                       </w:t>
            </w:r>
          </w:p>
        </w:tc>
      </w:tr>
      <w:tr w:rsidR="009807E4" w:rsidRPr="00A23C23" w14:paraId="55608AD5" w14:textId="77777777" w:rsidTr="00A23C23">
        <w:trPr>
          <w:trHeight w:val="82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C8EA3B4"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 Datos de Indicadores, estadísticas o registros del sector atinente a la gestión de cada Institución</w:t>
            </w:r>
          </w:p>
        </w:tc>
        <w:tc>
          <w:tcPr>
            <w:tcW w:w="3969" w:type="dxa"/>
            <w:tcBorders>
              <w:top w:val="nil"/>
              <w:left w:val="nil"/>
              <w:bottom w:val="single" w:sz="4" w:space="0" w:color="auto"/>
              <w:right w:val="single" w:sz="4" w:space="0" w:color="auto"/>
            </w:tcBorders>
            <w:shd w:val="clear" w:color="auto" w:fill="auto"/>
            <w:vAlign w:val="center"/>
            <w:hideMark/>
          </w:tcPr>
          <w:p w14:paraId="772AEFDA"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c>
          <w:tcPr>
            <w:tcW w:w="1843" w:type="dxa"/>
            <w:tcBorders>
              <w:top w:val="nil"/>
              <w:left w:val="nil"/>
              <w:bottom w:val="single" w:sz="4" w:space="0" w:color="auto"/>
              <w:right w:val="single" w:sz="4" w:space="0" w:color="auto"/>
            </w:tcBorders>
            <w:shd w:val="clear" w:color="auto" w:fill="auto"/>
            <w:noWrap/>
            <w:vAlign w:val="center"/>
            <w:hideMark/>
          </w:tcPr>
          <w:p w14:paraId="454078A1" w14:textId="77777777" w:rsidR="009807E4" w:rsidRPr="00A23C23" w:rsidRDefault="009807E4" w:rsidP="004E15AA">
            <w:pPr>
              <w:contextualSpacing/>
              <w:jc w:val="center"/>
              <w:rPr>
                <w:rFonts w:ascii="Arial" w:eastAsia="Times New Roman" w:hAnsi="Arial" w:cs="Arial"/>
                <w:color w:val="000000"/>
                <w:sz w:val="20"/>
                <w:szCs w:val="20"/>
                <w:lang w:eastAsia="es-CR"/>
              </w:rPr>
            </w:pPr>
            <w:r w:rsidRPr="00A23C23">
              <w:rPr>
                <w:rFonts w:ascii="Arial" w:eastAsia="Times New Roman" w:hAnsi="Arial" w:cs="Arial"/>
                <w:color w:val="000000"/>
                <w:sz w:val="20"/>
                <w:szCs w:val="20"/>
                <w:lang w:eastAsia="es-CR"/>
              </w:rPr>
              <w:t>No hay</w:t>
            </w:r>
          </w:p>
        </w:tc>
      </w:tr>
      <w:tr w:rsidR="009807E4" w:rsidRPr="00A23C23" w14:paraId="42A56404" w14:textId="77777777" w:rsidTr="00A23C23">
        <w:trPr>
          <w:trHeight w:val="1502"/>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73BAFF1E" w14:textId="77777777" w:rsidR="004E15AA"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hAnsi="Arial" w:cs="Arial"/>
                <w:sz w:val="20"/>
                <w:szCs w:val="20"/>
              </w:rPr>
              <w:t>● Otros conjuntos de datos prioritarios para la Administración</w:t>
            </w:r>
          </w:p>
          <w:p w14:paraId="67DA17C2" w14:textId="77777777" w:rsidR="009807E4" w:rsidRPr="00A23C23" w:rsidRDefault="009807E4" w:rsidP="00A23C23">
            <w:pPr>
              <w:jc w:val="both"/>
              <w:rPr>
                <w:rFonts w:ascii="Arial" w:eastAsia="Times New Roman" w:hAnsi="Arial" w:cs="Arial"/>
                <w:sz w:val="20"/>
                <w:szCs w:val="20"/>
                <w:lang w:eastAsia="es-CR"/>
              </w:rPr>
            </w:pPr>
          </w:p>
        </w:tc>
        <w:tc>
          <w:tcPr>
            <w:tcW w:w="3969" w:type="dxa"/>
            <w:tcBorders>
              <w:top w:val="single" w:sz="4" w:space="0" w:color="auto"/>
              <w:left w:val="nil"/>
              <w:bottom w:val="single" w:sz="4" w:space="0" w:color="auto"/>
              <w:right w:val="single" w:sz="4" w:space="0" w:color="auto"/>
            </w:tcBorders>
            <w:shd w:val="clear" w:color="auto" w:fill="auto"/>
          </w:tcPr>
          <w:p w14:paraId="34CE630A" w14:textId="77777777" w:rsidR="009807E4" w:rsidRPr="00A23C23" w:rsidRDefault="009807E4" w:rsidP="00A23C23">
            <w:pPr>
              <w:contextualSpacing/>
              <w:jc w:val="both"/>
              <w:rPr>
                <w:rFonts w:ascii="Arial" w:eastAsia="Times New Roman" w:hAnsi="Arial" w:cs="Arial"/>
                <w:color w:val="000000"/>
                <w:sz w:val="20"/>
                <w:szCs w:val="20"/>
                <w:lang w:eastAsia="es-CR"/>
              </w:rPr>
            </w:pPr>
            <w:r w:rsidRPr="00A23C23">
              <w:rPr>
                <w:rFonts w:ascii="Arial" w:hAnsi="Arial" w:cs="Arial"/>
                <w:sz w:val="20"/>
                <w:szCs w:val="20"/>
              </w:rPr>
              <w:t>Plan de Compras y ejecución fue incluido. Además, información de Alquileres (enero 2022), Bienes para la venta o Donación (febrero 2022), Bienes propiedad del Ministerio (enero 2022), Servicios Básicos (2016 a 2021) y Flota Vehicular.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BA503F" w14:textId="77777777" w:rsidR="009807E4" w:rsidRPr="00A23C23" w:rsidRDefault="009807E4" w:rsidP="00A23C23">
            <w:pPr>
              <w:contextualSpacing/>
              <w:jc w:val="center"/>
              <w:rPr>
                <w:rFonts w:ascii="Arial" w:eastAsia="Times New Roman" w:hAnsi="Arial" w:cs="Arial"/>
                <w:color w:val="000000"/>
                <w:sz w:val="20"/>
                <w:szCs w:val="20"/>
                <w:lang w:eastAsia="es-CR"/>
              </w:rPr>
            </w:pPr>
            <w:r w:rsidRPr="00A23C23">
              <w:rPr>
                <w:rFonts w:ascii="Arial" w:hAnsi="Arial" w:cs="Arial"/>
                <w:sz w:val="20"/>
                <w:szCs w:val="20"/>
              </w:rPr>
              <w:t>Completo</w:t>
            </w:r>
          </w:p>
        </w:tc>
      </w:tr>
    </w:tbl>
    <w:bookmarkEnd w:id="93"/>
    <w:p w14:paraId="5DFAD347" w14:textId="77777777" w:rsidR="00491E4E" w:rsidRPr="00A23C23" w:rsidRDefault="00A23C23" w:rsidP="00A23C23">
      <w:pPr>
        <w:jc w:val="both"/>
        <w:rPr>
          <w:rFonts w:ascii="Arial" w:hAnsi="Arial" w:cs="Arial"/>
          <w:sz w:val="18"/>
          <w:szCs w:val="18"/>
        </w:rPr>
      </w:pPr>
      <w:r w:rsidRPr="006758D3">
        <w:rPr>
          <w:rFonts w:ascii="Arial" w:hAnsi="Arial" w:cs="Arial"/>
          <w:b/>
          <w:sz w:val="18"/>
          <w:szCs w:val="18"/>
        </w:rPr>
        <w:t>Fuente:</w:t>
      </w:r>
      <w:r w:rsidRPr="00A23C23">
        <w:rPr>
          <w:rFonts w:ascii="Arial" w:hAnsi="Arial" w:cs="Arial"/>
          <w:sz w:val="18"/>
          <w:szCs w:val="18"/>
        </w:rPr>
        <w:t xml:space="preserve"> Elaboración propia con datos obtenidos de la página web del Ministerio de Hacienda.</w:t>
      </w:r>
    </w:p>
    <w:sectPr w:rsidR="00491E4E" w:rsidRPr="00A23C23" w:rsidSect="00D47A53">
      <w:headerReference w:type="default" r:id="rId13"/>
      <w:footerReference w:type="default" r:id="rId14"/>
      <w:pgSz w:w="12240" w:h="15840" w:code="1"/>
      <w:pgMar w:top="1888" w:right="1892" w:bottom="1276" w:left="1701" w:header="170"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C19F" w14:textId="77777777" w:rsidR="001505D4" w:rsidRDefault="001505D4" w:rsidP="00B17BEF">
      <w:r>
        <w:separator/>
      </w:r>
    </w:p>
  </w:endnote>
  <w:endnote w:type="continuationSeparator" w:id="0">
    <w:p w14:paraId="6E1053F9" w14:textId="77777777" w:rsidR="001505D4" w:rsidRDefault="001505D4" w:rsidP="00B17BEF">
      <w:r>
        <w:continuationSeparator/>
      </w:r>
    </w:p>
  </w:endnote>
  <w:endnote w:type="continuationNotice" w:id="1">
    <w:p w14:paraId="5873EB01" w14:textId="77777777" w:rsidR="001505D4" w:rsidRDefault="0015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2245" w14:textId="77777777" w:rsidR="001505D4" w:rsidRPr="008E1113" w:rsidRDefault="001505D4" w:rsidP="00044177">
    <w:pPr>
      <w:jc w:val="center"/>
      <w:rPr>
        <w:rFonts w:ascii="Arial" w:hAnsi="Arial" w:cs="Arial"/>
        <w:sz w:val="16"/>
        <w:szCs w:val="16"/>
      </w:rPr>
    </w:pPr>
    <w:bookmarkStart w:id="94" w:name="_Hlk59531754"/>
    <w:bookmarkStart w:id="95" w:name="_Hlk59531755"/>
    <w:r w:rsidRPr="008E1113">
      <w:rPr>
        <w:rFonts w:ascii="Arial" w:hAnsi="Arial" w:cs="Arial"/>
        <w:noProof/>
        <w:sz w:val="16"/>
        <w:szCs w:val="16"/>
        <w:lang w:eastAsia="es-CR"/>
      </w:rPr>
      <w:t>Av. 2da, Calles 1 y 3, diagonal al Teatro Nacional, San José, Costa Rica</w:t>
    </w:r>
    <w:r w:rsidRPr="008E1113">
      <w:rPr>
        <w:rFonts w:ascii="Arial" w:hAnsi="Arial" w:cs="Arial"/>
        <w:sz w:val="16"/>
        <w:szCs w:val="16"/>
      </w:rPr>
      <w:t>.</w:t>
    </w:r>
  </w:p>
  <w:p w14:paraId="597E7121" w14:textId="77777777" w:rsidR="001505D4" w:rsidRDefault="001505D4" w:rsidP="00643637">
    <w:pPr>
      <w:jc w:val="center"/>
      <w:rPr>
        <w:rStyle w:val="Hipervnculo"/>
        <w:rFonts w:ascii="Arial" w:hAnsi="Arial" w:cs="Arial"/>
        <w:sz w:val="16"/>
        <w:szCs w:val="16"/>
      </w:rPr>
    </w:pPr>
    <w:r w:rsidRPr="008E1113">
      <w:rPr>
        <w:rFonts w:ascii="Arial" w:hAnsi="Arial" w:cs="Arial"/>
        <w:sz w:val="16"/>
        <w:szCs w:val="16"/>
      </w:rPr>
      <w:t xml:space="preserve">Tel: (506)2539-6684 -  </w:t>
    </w:r>
    <w:hyperlink r:id="rId1" w:history="1">
      <w:r w:rsidRPr="008E1113">
        <w:rPr>
          <w:rStyle w:val="Hipervnculo"/>
          <w:rFonts w:ascii="Arial" w:hAnsi="Arial" w:cs="Arial"/>
          <w:sz w:val="16"/>
          <w:szCs w:val="16"/>
        </w:rPr>
        <w:t>www.hacienda.go.cr</w:t>
      </w:r>
    </w:hyperlink>
    <w:bookmarkEnd w:id="94"/>
    <w:bookmarkEnd w:id="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5807D" w14:textId="77777777" w:rsidR="001505D4" w:rsidRDefault="001505D4" w:rsidP="00B17BEF">
      <w:bookmarkStart w:id="0" w:name="_Hlk90325711"/>
      <w:bookmarkEnd w:id="0"/>
      <w:r>
        <w:separator/>
      </w:r>
    </w:p>
  </w:footnote>
  <w:footnote w:type="continuationSeparator" w:id="0">
    <w:p w14:paraId="223D843C" w14:textId="77777777" w:rsidR="001505D4" w:rsidRDefault="001505D4" w:rsidP="00B17BEF">
      <w:r>
        <w:continuationSeparator/>
      </w:r>
    </w:p>
  </w:footnote>
  <w:footnote w:type="continuationNotice" w:id="1">
    <w:p w14:paraId="74862E83" w14:textId="77777777" w:rsidR="001505D4" w:rsidRDefault="001505D4"/>
  </w:footnote>
  <w:footnote w:id="2">
    <w:p w14:paraId="3B8FC953" w14:textId="77777777" w:rsidR="001505D4" w:rsidRPr="009F6B8D" w:rsidRDefault="001505D4">
      <w:pPr>
        <w:pStyle w:val="Textonotapie"/>
        <w:rPr>
          <w:rFonts w:ascii="Arial" w:hAnsi="Arial" w:cs="Arial"/>
          <w:lang w:val="es-ES"/>
        </w:rPr>
      </w:pPr>
      <w:r w:rsidRPr="009F6B8D">
        <w:rPr>
          <w:rStyle w:val="Refdenotaalpie"/>
          <w:rFonts w:ascii="Arial" w:hAnsi="Arial" w:cs="Arial"/>
        </w:rPr>
        <w:footnoteRef/>
      </w:r>
      <w:r w:rsidRPr="009F6B8D">
        <w:rPr>
          <w:rFonts w:ascii="Arial" w:hAnsi="Arial" w:cs="Arial"/>
        </w:rPr>
        <w:t xml:space="preserve"> Publicado en el Diario Oficial La Gaceta, el día 12 de mayo del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B2C3" w14:textId="4D75F298" w:rsidR="001505D4" w:rsidRDefault="001505D4" w:rsidP="004334A8">
    <w:pPr>
      <w:pStyle w:val="Encabezado"/>
    </w:pPr>
    <w:r>
      <w:rPr>
        <w:noProof/>
      </w:rPr>
      <w:drawing>
        <wp:anchor distT="0" distB="0" distL="114300" distR="114300" simplePos="0" relativeHeight="251658240" behindDoc="1" locked="0" layoutInCell="1" allowOverlap="1" wp14:anchorId="60D76C61" wp14:editId="4365A72C">
          <wp:simplePos x="0" y="0"/>
          <wp:positionH relativeFrom="column">
            <wp:posOffset>4192905</wp:posOffset>
          </wp:positionH>
          <wp:positionV relativeFrom="paragraph">
            <wp:posOffset>-1270</wp:posOffset>
          </wp:positionV>
          <wp:extent cx="1280160" cy="65214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5214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p>
  <w:p w14:paraId="7712A3F3" w14:textId="77777777" w:rsidR="001505D4" w:rsidRDefault="001505D4">
    <w:pPr>
      <w:pStyle w:val="Encabezado"/>
      <w:jc w:val="right"/>
    </w:pPr>
    <w:r>
      <w:rPr>
        <w:noProof/>
      </w:rPr>
      <w:drawing>
        <wp:anchor distT="0" distB="0" distL="114300" distR="114300" simplePos="0" relativeHeight="251659264" behindDoc="0" locked="0" layoutInCell="1" allowOverlap="1" wp14:anchorId="2DCB1CFA" wp14:editId="64235C10">
          <wp:simplePos x="0" y="0"/>
          <wp:positionH relativeFrom="column">
            <wp:posOffset>55245</wp:posOffset>
          </wp:positionH>
          <wp:positionV relativeFrom="paragraph">
            <wp:posOffset>94615</wp:posOffset>
          </wp:positionV>
          <wp:extent cx="1048385" cy="469265"/>
          <wp:effectExtent l="0" t="0" r="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469265"/>
                  </a:xfrm>
                  <a:prstGeom prst="rect">
                    <a:avLst/>
                  </a:prstGeom>
                  <a:noFill/>
                </pic:spPr>
              </pic:pic>
            </a:graphicData>
          </a:graphic>
        </wp:anchor>
      </w:drawing>
    </w:r>
  </w:p>
  <w:p w14:paraId="21289B90" w14:textId="77777777" w:rsidR="001505D4" w:rsidRDefault="001505D4">
    <w:pPr>
      <w:pStyle w:val="Encabezado"/>
      <w:jc w:val="right"/>
    </w:pPr>
  </w:p>
  <w:p w14:paraId="2DE4A793" w14:textId="77777777" w:rsidR="001505D4" w:rsidRDefault="001505D4">
    <w:pPr>
      <w:pStyle w:val="Encabezado"/>
      <w:jc w:val="right"/>
    </w:pPr>
  </w:p>
  <w:p w14:paraId="37FD7816" w14:textId="1B2C34B2" w:rsidR="001505D4" w:rsidRDefault="001505D4" w:rsidP="00673A90">
    <w:pPr>
      <w:pStyle w:val="Encabezado"/>
      <w:jc w:val="right"/>
    </w:pPr>
    <w:r>
      <w:t>AI-INF-CI-</w:t>
    </w:r>
    <w:r w:rsidR="0093557A">
      <w:t>003</w:t>
    </w:r>
    <w:r>
      <w:t>-2022</w:t>
    </w:r>
  </w:p>
  <w:sdt>
    <w:sdtPr>
      <w:id w:val="-1318336367"/>
      <w:docPartObj>
        <w:docPartGallery w:val="Page Numbers (Top of Page)"/>
        <w:docPartUnique/>
      </w:docPartObj>
    </w:sdtPr>
    <w:sdtEndPr/>
    <w:sdtContent>
      <w:p w14:paraId="11F4BAFD" w14:textId="77777777" w:rsidR="001505D4" w:rsidRPr="008E1113" w:rsidRDefault="001505D4" w:rsidP="00673A90">
        <w:pPr>
          <w:pStyle w:val="Encabezado"/>
          <w:spacing w:before="100" w:beforeAutospacing="1" w:after="100" w:afterAutospacing="1"/>
          <w:contextualSpacing/>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2" w15:restartNumberingAfterBreak="0">
    <w:nsid w:val="05B361A0"/>
    <w:multiLevelType w:val="multilevel"/>
    <w:tmpl w:val="8714958A"/>
    <w:lvl w:ilvl="0">
      <w:start w:val="1"/>
      <w:numFmt w:val="decimal"/>
      <w:lvlText w:val="%1."/>
      <w:lvlJc w:val="left"/>
      <w:pPr>
        <w:ind w:left="720" w:hanging="360"/>
      </w:pPr>
      <w:rPr>
        <w:rFonts w:hint="default"/>
      </w:rPr>
    </w:lvl>
    <w:lvl w:ilvl="1">
      <w:start w:val="8"/>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1721C1"/>
    <w:multiLevelType w:val="hybridMultilevel"/>
    <w:tmpl w:val="35D807F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17A2BB7"/>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108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162772"/>
    <w:multiLevelType w:val="multilevel"/>
    <w:tmpl w:val="D92044C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05243B"/>
    <w:multiLevelType w:val="hybridMultilevel"/>
    <w:tmpl w:val="34527D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3B352B"/>
    <w:multiLevelType w:val="multilevel"/>
    <w:tmpl w:val="674A083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10" w15:restartNumberingAfterBreak="0">
    <w:nsid w:val="20650659"/>
    <w:multiLevelType w:val="multilevel"/>
    <w:tmpl w:val="34BEE09A"/>
    <w:lvl w:ilvl="0">
      <w:start w:val="4"/>
      <w:numFmt w:val="decimal"/>
      <w:lvlText w:val="%1."/>
      <w:lvlJc w:val="left"/>
      <w:pPr>
        <w:ind w:left="720" w:hanging="360"/>
      </w:pPr>
      <w:rPr>
        <w:rFonts w:hint="default"/>
      </w:rPr>
    </w:lvl>
    <w:lvl w:ilvl="1">
      <w:start w:val="1"/>
      <w:numFmt w:val="decimal"/>
      <w:isLgl/>
      <w:lvlText w:val="%1.%2"/>
      <w:lvlJc w:val="left"/>
      <w:pPr>
        <w:ind w:left="284" w:firstLine="76"/>
      </w:pPr>
      <w:rPr>
        <w:rFonts w:hint="default"/>
        <w:b/>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12" w15:restartNumberingAfterBreak="0">
    <w:nsid w:val="30B708E2"/>
    <w:multiLevelType w:val="hybridMultilevel"/>
    <w:tmpl w:val="64580042"/>
    <w:lvl w:ilvl="0" w:tplc="9C3401B8">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 w15:restartNumberingAfterBreak="0">
    <w:nsid w:val="44A95BD9"/>
    <w:multiLevelType w:val="hybridMultilevel"/>
    <w:tmpl w:val="528049BE"/>
    <w:lvl w:ilvl="0" w:tplc="B9403E16">
      <w:start w:val="1"/>
      <w:numFmt w:val="decimal"/>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9B56230"/>
    <w:multiLevelType w:val="multilevel"/>
    <w:tmpl w:val="93E07C66"/>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C31A16"/>
    <w:multiLevelType w:val="hybridMultilevel"/>
    <w:tmpl w:val="05807B6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8" w15:restartNumberingAfterBreak="0">
    <w:nsid w:val="54AB7747"/>
    <w:multiLevelType w:val="hybridMultilevel"/>
    <w:tmpl w:val="678A9CC2"/>
    <w:lvl w:ilvl="0" w:tplc="38C8D58A">
      <w:start w:val="1"/>
      <w:numFmt w:val="decimal"/>
      <w:lvlText w:val="%1."/>
      <w:lvlJc w:val="left"/>
      <w:pPr>
        <w:ind w:left="720" w:hanging="360"/>
      </w:pPr>
      <w:rPr>
        <w:rFonts w:hint="default"/>
        <w:sz w:val="20"/>
        <w:szCs w:val="20"/>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BD535C9"/>
    <w:multiLevelType w:val="hybridMultilevel"/>
    <w:tmpl w:val="B104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2FA514A"/>
    <w:multiLevelType w:val="hybridMultilevel"/>
    <w:tmpl w:val="879CD3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73CE72F5"/>
    <w:multiLevelType w:val="multilevel"/>
    <w:tmpl w:val="BEB6FC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523DD2"/>
    <w:multiLevelType w:val="hybridMultilevel"/>
    <w:tmpl w:val="C13C98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22"/>
  </w:num>
  <w:num w:numId="5">
    <w:abstractNumId w:val="4"/>
  </w:num>
  <w:num w:numId="6">
    <w:abstractNumId w:val="23"/>
  </w:num>
  <w:num w:numId="7">
    <w:abstractNumId w:val="24"/>
  </w:num>
  <w:num w:numId="8">
    <w:abstractNumId w:val="6"/>
  </w:num>
  <w:num w:numId="9">
    <w:abstractNumId w:val="1"/>
  </w:num>
  <w:num w:numId="10">
    <w:abstractNumId w:val="17"/>
  </w:num>
  <w:num w:numId="11">
    <w:abstractNumId w:val="13"/>
  </w:num>
  <w:num w:numId="12">
    <w:abstractNumId w:val="11"/>
  </w:num>
  <w:num w:numId="13">
    <w:abstractNumId w:val="20"/>
  </w:num>
  <w:num w:numId="14">
    <w:abstractNumId w:val="15"/>
  </w:num>
  <w:num w:numId="15">
    <w:abstractNumId w:val="7"/>
  </w:num>
  <w:num w:numId="16">
    <w:abstractNumId w:val="2"/>
  </w:num>
  <w:num w:numId="17">
    <w:abstractNumId w:val="10"/>
  </w:num>
  <w:num w:numId="18">
    <w:abstractNumId w:val="12"/>
  </w:num>
  <w:num w:numId="19">
    <w:abstractNumId w:val="5"/>
  </w:num>
  <w:num w:numId="20">
    <w:abstractNumId w:val="9"/>
  </w:num>
  <w:num w:numId="21">
    <w:abstractNumId w:val="18"/>
  </w:num>
  <w:num w:numId="22">
    <w:abstractNumId w:val="21"/>
  </w:num>
  <w:num w:numId="23">
    <w:abstractNumId w:val="3"/>
  </w:num>
  <w:num w:numId="24">
    <w:abstractNumId w:val="27"/>
  </w:num>
  <w:num w:numId="25">
    <w:abstractNumId w:val="26"/>
  </w:num>
  <w:num w:numId="26">
    <w:abstractNumId w:val="16"/>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0B34"/>
    <w:rsid w:val="00000B6E"/>
    <w:rsid w:val="00004E0D"/>
    <w:rsid w:val="00007184"/>
    <w:rsid w:val="00017CD1"/>
    <w:rsid w:val="000220DE"/>
    <w:rsid w:val="0002490C"/>
    <w:rsid w:val="0002500E"/>
    <w:rsid w:val="00030059"/>
    <w:rsid w:val="00030E25"/>
    <w:rsid w:val="00031057"/>
    <w:rsid w:val="00031758"/>
    <w:rsid w:val="00037196"/>
    <w:rsid w:val="00042B78"/>
    <w:rsid w:val="00044177"/>
    <w:rsid w:val="00052A0E"/>
    <w:rsid w:val="00052E00"/>
    <w:rsid w:val="000555E5"/>
    <w:rsid w:val="00065069"/>
    <w:rsid w:val="0007636A"/>
    <w:rsid w:val="000777A0"/>
    <w:rsid w:val="000811F4"/>
    <w:rsid w:val="00083248"/>
    <w:rsid w:val="00086AC7"/>
    <w:rsid w:val="00087229"/>
    <w:rsid w:val="00094946"/>
    <w:rsid w:val="00097935"/>
    <w:rsid w:val="000A1376"/>
    <w:rsid w:val="000A24A7"/>
    <w:rsid w:val="000A30CE"/>
    <w:rsid w:val="000A4798"/>
    <w:rsid w:val="000A5152"/>
    <w:rsid w:val="000A5206"/>
    <w:rsid w:val="000A53C1"/>
    <w:rsid w:val="000B0080"/>
    <w:rsid w:val="000B158E"/>
    <w:rsid w:val="000B1AE6"/>
    <w:rsid w:val="000B29C9"/>
    <w:rsid w:val="000C0A77"/>
    <w:rsid w:val="000C3876"/>
    <w:rsid w:val="000C461E"/>
    <w:rsid w:val="000C60E3"/>
    <w:rsid w:val="000D5447"/>
    <w:rsid w:val="000D55D8"/>
    <w:rsid w:val="000E4C3A"/>
    <w:rsid w:val="000E4E48"/>
    <w:rsid w:val="000F0D7A"/>
    <w:rsid w:val="000F16C9"/>
    <w:rsid w:val="000F3E42"/>
    <w:rsid w:val="000F4957"/>
    <w:rsid w:val="00100099"/>
    <w:rsid w:val="00100217"/>
    <w:rsid w:val="00101B84"/>
    <w:rsid w:val="001031CF"/>
    <w:rsid w:val="0010514F"/>
    <w:rsid w:val="001102D8"/>
    <w:rsid w:val="0013005E"/>
    <w:rsid w:val="00130714"/>
    <w:rsid w:val="001334E3"/>
    <w:rsid w:val="0013779D"/>
    <w:rsid w:val="001505D4"/>
    <w:rsid w:val="00150AC1"/>
    <w:rsid w:val="00152CD3"/>
    <w:rsid w:val="0015732C"/>
    <w:rsid w:val="0016072A"/>
    <w:rsid w:val="00166E72"/>
    <w:rsid w:val="00170D5B"/>
    <w:rsid w:val="00171288"/>
    <w:rsid w:val="00173DDE"/>
    <w:rsid w:val="00176E68"/>
    <w:rsid w:val="00183D7C"/>
    <w:rsid w:val="00187437"/>
    <w:rsid w:val="00191F09"/>
    <w:rsid w:val="00191F82"/>
    <w:rsid w:val="001941C4"/>
    <w:rsid w:val="00197D01"/>
    <w:rsid w:val="001A12FF"/>
    <w:rsid w:val="001A4B74"/>
    <w:rsid w:val="001A6D50"/>
    <w:rsid w:val="001B3325"/>
    <w:rsid w:val="001B4663"/>
    <w:rsid w:val="001B50AF"/>
    <w:rsid w:val="001B6045"/>
    <w:rsid w:val="001C4132"/>
    <w:rsid w:val="001C618B"/>
    <w:rsid w:val="001C667C"/>
    <w:rsid w:val="001C7DC3"/>
    <w:rsid w:val="001D1E17"/>
    <w:rsid w:val="001D2375"/>
    <w:rsid w:val="001D7EEB"/>
    <w:rsid w:val="001E04A0"/>
    <w:rsid w:val="001E07A9"/>
    <w:rsid w:val="001E1076"/>
    <w:rsid w:val="001E4E55"/>
    <w:rsid w:val="001E5B47"/>
    <w:rsid w:val="001E68D8"/>
    <w:rsid w:val="001F166F"/>
    <w:rsid w:val="001F3C91"/>
    <w:rsid w:val="001F4CCB"/>
    <w:rsid w:val="001F5981"/>
    <w:rsid w:val="00200126"/>
    <w:rsid w:val="00202656"/>
    <w:rsid w:val="0020299F"/>
    <w:rsid w:val="00202F9C"/>
    <w:rsid w:val="00210C0F"/>
    <w:rsid w:val="00210D80"/>
    <w:rsid w:val="002121E5"/>
    <w:rsid w:val="002124C7"/>
    <w:rsid w:val="002134AE"/>
    <w:rsid w:val="002160EE"/>
    <w:rsid w:val="002246DC"/>
    <w:rsid w:val="002272DE"/>
    <w:rsid w:val="00233E6F"/>
    <w:rsid w:val="00233FFA"/>
    <w:rsid w:val="00235CE2"/>
    <w:rsid w:val="002367E7"/>
    <w:rsid w:val="0024124B"/>
    <w:rsid w:val="00241B2C"/>
    <w:rsid w:val="00244440"/>
    <w:rsid w:val="002456DE"/>
    <w:rsid w:val="00246AEC"/>
    <w:rsid w:val="002509D9"/>
    <w:rsid w:val="00255AF2"/>
    <w:rsid w:val="00255E52"/>
    <w:rsid w:val="00257542"/>
    <w:rsid w:val="00261CAB"/>
    <w:rsid w:val="00265B71"/>
    <w:rsid w:val="0026707F"/>
    <w:rsid w:val="00270510"/>
    <w:rsid w:val="002728A7"/>
    <w:rsid w:val="002744F0"/>
    <w:rsid w:val="00274634"/>
    <w:rsid w:val="00276079"/>
    <w:rsid w:val="00276340"/>
    <w:rsid w:val="00277732"/>
    <w:rsid w:val="00277D0B"/>
    <w:rsid w:val="002833BE"/>
    <w:rsid w:val="002847B7"/>
    <w:rsid w:val="0029119F"/>
    <w:rsid w:val="002946CB"/>
    <w:rsid w:val="002948B5"/>
    <w:rsid w:val="0029600F"/>
    <w:rsid w:val="00296FC1"/>
    <w:rsid w:val="002A182D"/>
    <w:rsid w:val="002A3EDE"/>
    <w:rsid w:val="002A5E01"/>
    <w:rsid w:val="002A75E7"/>
    <w:rsid w:val="002B1173"/>
    <w:rsid w:val="002B137C"/>
    <w:rsid w:val="002B49D2"/>
    <w:rsid w:val="002C0919"/>
    <w:rsid w:val="002C29B8"/>
    <w:rsid w:val="002C2C4A"/>
    <w:rsid w:val="002C2FFD"/>
    <w:rsid w:val="002C4B7A"/>
    <w:rsid w:val="002C5E87"/>
    <w:rsid w:val="002D146C"/>
    <w:rsid w:val="002D2445"/>
    <w:rsid w:val="002D43C1"/>
    <w:rsid w:val="002D4E75"/>
    <w:rsid w:val="002D681A"/>
    <w:rsid w:val="002E0B6C"/>
    <w:rsid w:val="002E4BFB"/>
    <w:rsid w:val="002E7FAC"/>
    <w:rsid w:val="002F1867"/>
    <w:rsid w:val="002F234E"/>
    <w:rsid w:val="002F7643"/>
    <w:rsid w:val="0030748B"/>
    <w:rsid w:val="00310A73"/>
    <w:rsid w:val="003117B7"/>
    <w:rsid w:val="00322BF1"/>
    <w:rsid w:val="003351F7"/>
    <w:rsid w:val="00335AC5"/>
    <w:rsid w:val="00340A4C"/>
    <w:rsid w:val="00341B37"/>
    <w:rsid w:val="0035007B"/>
    <w:rsid w:val="00353280"/>
    <w:rsid w:val="00367F0E"/>
    <w:rsid w:val="003718D3"/>
    <w:rsid w:val="00373460"/>
    <w:rsid w:val="00376273"/>
    <w:rsid w:val="00383B7C"/>
    <w:rsid w:val="00384A4E"/>
    <w:rsid w:val="00384E0B"/>
    <w:rsid w:val="00393152"/>
    <w:rsid w:val="00394690"/>
    <w:rsid w:val="003A01BC"/>
    <w:rsid w:val="003A1809"/>
    <w:rsid w:val="003A36C0"/>
    <w:rsid w:val="003A4212"/>
    <w:rsid w:val="003B1531"/>
    <w:rsid w:val="003B3B5E"/>
    <w:rsid w:val="003B439D"/>
    <w:rsid w:val="003B633F"/>
    <w:rsid w:val="003B7B68"/>
    <w:rsid w:val="003C0297"/>
    <w:rsid w:val="003C28F1"/>
    <w:rsid w:val="003C2DB0"/>
    <w:rsid w:val="003C38C1"/>
    <w:rsid w:val="003D15A7"/>
    <w:rsid w:val="003D53AA"/>
    <w:rsid w:val="003D6A47"/>
    <w:rsid w:val="003E06EB"/>
    <w:rsid w:val="003E27D8"/>
    <w:rsid w:val="003E5209"/>
    <w:rsid w:val="003E5860"/>
    <w:rsid w:val="003E6E27"/>
    <w:rsid w:val="003F0C0A"/>
    <w:rsid w:val="003F3725"/>
    <w:rsid w:val="003F6517"/>
    <w:rsid w:val="0040232C"/>
    <w:rsid w:val="0040343E"/>
    <w:rsid w:val="004120CF"/>
    <w:rsid w:val="00413AE8"/>
    <w:rsid w:val="00413BFD"/>
    <w:rsid w:val="00415D8A"/>
    <w:rsid w:val="00426053"/>
    <w:rsid w:val="004272F7"/>
    <w:rsid w:val="00427A17"/>
    <w:rsid w:val="0043052F"/>
    <w:rsid w:val="0043205C"/>
    <w:rsid w:val="004332D6"/>
    <w:rsid w:val="004334A8"/>
    <w:rsid w:val="0043627B"/>
    <w:rsid w:val="00437AD7"/>
    <w:rsid w:val="00441749"/>
    <w:rsid w:val="00441974"/>
    <w:rsid w:val="00442DBB"/>
    <w:rsid w:val="00443DCD"/>
    <w:rsid w:val="00446FB1"/>
    <w:rsid w:val="00447DB7"/>
    <w:rsid w:val="0046208A"/>
    <w:rsid w:val="004644EB"/>
    <w:rsid w:val="00465F96"/>
    <w:rsid w:val="0046627E"/>
    <w:rsid w:val="004662D8"/>
    <w:rsid w:val="00473916"/>
    <w:rsid w:val="00475395"/>
    <w:rsid w:val="00481918"/>
    <w:rsid w:val="00485B26"/>
    <w:rsid w:val="00491CF0"/>
    <w:rsid w:val="00491E4E"/>
    <w:rsid w:val="0049358D"/>
    <w:rsid w:val="004964FA"/>
    <w:rsid w:val="0049782B"/>
    <w:rsid w:val="004A01AA"/>
    <w:rsid w:val="004A4068"/>
    <w:rsid w:val="004A432A"/>
    <w:rsid w:val="004A562F"/>
    <w:rsid w:val="004A7BEA"/>
    <w:rsid w:val="004B087D"/>
    <w:rsid w:val="004B1324"/>
    <w:rsid w:val="004B1BDF"/>
    <w:rsid w:val="004B1DCA"/>
    <w:rsid w:val="004B4CEC"/>
    <w:rsid w:val="004B66F2"/>
    <w:rsid w:val="004B71AC"/>
    <w:rsid w:val="004B7E1B"/>
    <w:rsid w:val="004C0083"/>
    <w:rsid w:val="004C0E5F"/>
    <w:rsid w:val="004C10B7"/>
    <w:rsid w:val="004C32CB"/>
    <w:rsid w:val="004C33F1"/>
    <w:rsid w:val="004D669D"/>
    <w:rsid w:val="004E15AA"/>
    <w:rsid w:val="004E31C9"/>
    <w:rsid w:val="004F38A0"/>
    <w:rsid w:val="004F5440"/>
    <w:rsid w:val="00500E65"/>
    <w:rsid w:val="00505875"/>
    <w:rsid w:val="00516DC8"/>
    <w:rsid w:val="005210DF"/>
    <w:rsid w:val="0052257F"/>
    <w:rsid w:val="005249CB"/>
    <w:rsid w:val="00524E2B"/>
    <w:rsid w:val="00531A28"/>
    <w:rsid w:val="0053725C"/>
    <w:rsid w:val="00537B45"/>
    <w:rsid w:val="00546B7C"/>
    <w:rsid w:val="005504B4"/>
    <w:rsid w:val="0055222A"/>
    <w:rsid w:val="00552D74"/>
    <w:rsid w:val="00553724"/>
    <w:rsid w:val="00553D43"/>
    <w:rsid w:val="00556EF6"/>
    <w:rsid w:val="0055735C"/>
    <w:rsid w:val="00561B50"/>
    <w:rsid w:val="00562F1A"/>
    <w:rsid w:val="00563FF7"/>
    <w:rsid w:val="00565715"/>
    <w:rsid w:val="0056648B"/>
    <w:rsid w:val="005667E2"/>
    <w:rsid w:val="005678DD"/>
    <w:rsid w:val="00571CC4"/>
    <w:rsid w:val="00571E52"/>
    <w:rsid w:val="0057309A"/>
    <w:rsid w:val="0057432A"/>
    <w:rsid w:val="00574C77"/>
    <w:rsid w:val="00574C81"/>
    <w:rsid w:val="00575359"/>
    <w:rsid w:val="0058030A"/>
    <w:rsid w:val="005804B3"/>
    <w:rsid w:val="00584869"/>
    <w:rsid w:val="00590CCE"/>
    <w:rsid w:val="005925A6"/>
    <w:rsid w:val="005A1A70"/>
    <w:rsid w:val="005A2999"/>
    <w:rsid w:val="005B4486"/>
    <w:rsid w:val="005C60F4"/>
    <w:rsid w:val="005C74A0"/>
    <w:rsid w:val="005D1802"/>
    <w:rsid w:val="005D2181"/>
    <w:rsid w:val="005D73EC"/>
    <w:rsid w:val="005E4B9D"/>
    <w:rsid w:val="005E501C"/>
    <w:rsid w:val="005F0403"/>
    <w:rsid w:val="005F2FB7"/>
    <w:rsid w:val="00600189"/>
    <w:rsid w:val="006025E1"/>
    <w:rsid w:val="0060372D"/>
    <w:rsid w:val="00604B61"/>
    <w:rsid w:val="00604B72"/>
    <w:rsid w:val="00604DD6"/>
    <w:rsid w:val="0060644C"/>
    <w:rsid w:val="006075B3"/>
    <w:rsid w:val="00612FC8"/>
    <w:rsid w:val="006149A5"/>
    <w:rsid w:val="00617C34"/>
    <w:rsid w:val="006207A1"/>
    <w:rsid w:val="0062151B"/>
    <w:rsid w:val="00621BFE"/>
    <w:rsid w:val="006226C7"/>
    <w:rsid w:val="006276EC"/>
    <w:rsid w:val="00627B94"/>
    <w:rsid w:val="00637B6C"/>
    <w:rsid w:val="0064131B"/>
    <w:rsid w:val="00642869"/>
    <w:rsid w:val="00643637"/>
    <w:rsid w:val="00647A3D"/>
    <w:rsid w:val="006570FD"/>
    <w:rsid w:val="0065757A"/>
    <w:rsid w:val="00660976"/>
    <w:rsid w:val="00660E0F"/>
    <w:rsid w:val="006611A6"/>
    <w:rsid w:val="006623D5"/>
    <w:rsid w:val="0066419E"/>
    <w:rsid w:val="006650F2"/>
    <w:rsid w:val="00673A90"/>
    <w:rsid w:val="00673B08"/>
    <w:rsid w:val="00674E8B"/>
    <w:rsid w:val="006758D3"/>
    <w:rsid w:val="00676E5F"/>
    <w:rsid w:val="00677896"/>
    <w:rsid w:val="00684407"/>
    <w:rsid w:val="00691D02"/>
    <w:rsid w:val="00694813"/>
    <w:rsid w:val="00697458"/>
    <w:rsid w:val="006A0650"/>
    <w:rsid w:val="006A3F96"/>
    <w:rsid w:val="006A6BB4"/>
    <w:rsid w:val="006B0F98"/>
    <w:rsid w:val="006B2398"/>
    <w:rsid w:val="006C0279"/>
    <w:rsid w:val="006C3032"/>
    <w:rsid w:val="006C5B0E"/>
    <w:rsid w:val="006C6B66"/>
    <w:rsid w:val="006C7F40"/>
    <w:rsid w:val="006D52BE"/>
    <w:rsid w:val="006D7517"/>
    <w:rsid w:val="006E3114"/>
    <w:rsid w:val="006E4173"/>
    <w:rsid w:val="006E7FC5"/>
    <w:rsid w:val="006F01D3"/>
    <w:rsid w:val="006F08A5"/>
    <w:rsid w:val="006F2B03"/>
    <w:rsid w:val="006F3506"/>
    <w:rsid w:val="006F4316"/>
    <w:rsid w:val="006F52B2"/>
    <w:rsid w:val="006F6D5D"/>
    <w:rsid w:val="00701483"/>
    <w:rsid w:val="00706964"/>
    <w:rsid w:val="00706A36"/>
    <w:rsid w:val="007076B4"/>
    <w:rsid w:val="0071182D"/>
    <w:rsid w:val="00712472"/>
    <w:rsid w:val="00721ABD"/>
    <w:rsid w:val="00730213"/>
    <w:rsid w:val="007343A0"/>
    <w:rsid w:val="00734B4B"/>
    <w:rsid w:val="00743C4E"/>
    <w:rsid w:val="00743EEC"/>
    <w:rsid w:val="00743F65"/>
    <w:rsid w:val="00744763"/>
    <w:rsid w:val="0074571E"/>
    <w:rsid w:val="007507EC"/>
    <w:rsid w:val="0075402E"/>
    <w:rsid w:val="00754A66"/>
    <w:rsid w:val="00755136"/>
    <w:rsid w:val="0075629A"/>
    <w:rsid w:val="00756C5D"/>
    <w:rsid w:val="00763049"/>
    <w:rsid w:val="00763433"/>
    <w:rsid w:val="00763539"/>
    <w:rsid w:val="007637B1"/>
    <w:rsid w:val="00763993"/>
    <w:rsid w:val="00763D45"/>
    <w:rsid w:val="0076445C"/>
    <w:rsid w:val="007725F2"/>
    <w:rsid w:val="007755CC"/>
    <w:rsid w:val="007808BE"/>
    <w:rsid w:val="00780F9F"/>
    <w:rsid w:val="00783FE0"/>
    <w:rsid w:val="007935B7"/>
    <w:rsid w:val="00795679"/>
    <w:rsid w:val="007A07D7"/>
    <w:rsid w:val="007A0AF1"/>
    <w:rsid w:val="007A14EC"/>
    <w:rsid w:val="007A16F8"/>
    <w:rsid w:val="007A2045"/>
    <w:rsid w:val="007A3031"/>
    <w:rsid w:val="007A4F9E"/>
    <w:rsid w:val="007B2C5A"/>
    <w:rsid w:val="007C2059"/>
    <w:rsid w:val="007D411F"/>
    <w:rsid w:val="007E2D2D"/>
    <w:rsid w:val="007E342D"/>
    <w:rsid w:val="007E4928"/>
    <w:rsid w:val="007F1DB4"/>
    <w:rsid w:val="007F261B"/>
    <w:rsid w:val="007F2947"/>
    <w:rsid w:val="007F3313"/>
    <w:rsid w:val="007F6653"/>
    <w:rsid w:val="007F6C85"/>
    <w:rsid w:val="00803D6A"/>
    <w:rsid w:val="00805F52"/>
    <w:rsid w:val="008067CA"/>
    <w:rsid w:val="00811E04"/>
    <w:rsid w:val="00813455"/>
    <w:rsid w:val="00815ABB"/>
    <w:rsid w:val="008166DD"/>
    <w:rsid w:val="00826938"/>
    <w:rsid w:val="00831BBF"/>
    <w:rsid w:val="008356F3"/>
    <w:rsid w:val="00836FBE"/>
    <w:rsid w:val="0083731F"/>
    <w:rsid w:val="00840B72"/>
    <w:rsid w:val="00844D64"/>
    <w:rsid w:val="008539C0"/>
    <w:rsid w:val="00857DD4"/>
    <w:rsid w:val="00862BA4"/>
    <w:rsid w:val="00864F98"/>
    <w:rsid w:val="00865B66"/>
    <w:rsid w:val="008718F3"/>
    <w:rsid w:val="00872B05"/>
    <w:rsid w:val="008743E7"/>
    <w:rsid w:val="00874CB7"/>
    <w:rsid w:val="008761C0"/>
    <w:rsid w:val="0088000D"/>
    <w:rsid w:val="00884B9E"/>
    <w:rsid w:val="008857E3"/>
    <w:rsid w:val="00887523"/>
    <w:rsid w:val="008912F0"/>
    <w:rsid w:val="0089464D"/>
    <w:rsid w:val="008B1361"/>
    <w:rsid w:val="008B3480"/>
    <w:rsid w:val="008B429B"/>
    <w:rsid w:val="008B471F"/>
    <w:rsid w:val="008C45F3"/>
    <w:rsid w:val="008C51A6"/>
    <w:rsid w:val="008D0837"/>
    <w:rsid w:val="008D29B9"/>
    <w:rsid w:val="008D2F41"/>
    <w:rsid w:val="008D4151"/>
    <w:rsid w:val="008D4A08"/>
    <w:rsid w:val="008D62C5"/>
    <w:rsid w:val="008E0E68"/>
    <w:rsid w:val="008E1113"/>
    <w:rsid w:val="008E195D"/>
    <w:rsid w:val="008E2A57"/>
    <w:rsid w:val="008E652A"/>
    <w:rsid w:val="008E7EA4"/>
    <w:rsid w:val="008F0653"/>
    <w:rsid w:val="008F40EF"/>
    <w:rsid w:val="008F42F7"/>
    <w:rsid w:val="008F740B"/>
    <w:rsid w:val="00906B6F"/>
    <w:rsid w:val="00906F0D"/>
    <w:rsid w:val="00911760"/>
    <w:rsid w:val="00915978"/>
    <w:rsid w:val="00916549"/>
    <w:rsid w:val="00917AF4"/>
    <w:rsid w:val="00921CC5"/>
    <w:rsid w:val="00922812"/>
    <w:rsid w:val="00925153"/>
    <w:rsid w:val="009316A2"/>
    <w:rsid w:val="0093468B"/>
    <w:rsid w:val="0093557A"/>
    <w:rsid w:val="0093710E"/>
    <w:rsid w:val="00940448"/>
    <w:rsid w:val="00942269"/>
    <w:rsid w:val="0094292B"/>
    <w:rsid w:val="00947A00"/>
    <w:rsid w:val="00952791"/>
    <w:rsid w:val="00952E0E"/>
    <w:rsid w:val="00956461"/>
    <w:rsid w:val="00956B2D"/>
    <w:rsid w:val="00972D83"/>
    <w:rsid w:val="00972DCB"/>
    <w:rsid w:val="00972F04"/>
    <w:rsid w:val="00974BA9"/>
    <w:rsid w:val="009807E4"/>
    <w:rsid w:val="00980C89"/>
    <w:rsid w:val="00987CC5"/>
    <w:rsid w:val="00987E11"/>
    <w:rsid w:val="00991E8D"/>
    <w:rsid w:val="009940AF"/>
    <w:rsid w:val="009949D5"/>
    <w:rsid w:val="009A086C"/>
    <w:rsid w:val="009A097F"/>
    <w:rsid w:val="009A705D"/>
    <w:rsid w:val="009B06C9"/>
    <w:rsid w:val="009B0C5F"/>
    <w:rsid w:val="009B3BE9"/>
    <w:rsid w:val="009B7B35"/>
    <w:rsid w:val="009C2EA0"/>
    <w:rsid w:val="009C5BC6"/>
    <w:rsid w:val="009D2D99"/>
    <w:rsid w:val="009D5726"/>
    <w:rsid w:val="009D7DFC"/>
    <w:rsid w:val="009E1050"/>
    <w:rsid w:val="009E5392"/>
    <w:rsid w:val="009E6030"/>
    <w:rsid w:val="009E638E"/>
    <w:rsid w:val="009E75CC"/>
    <w:rsid w:val="009F4C2F"/>
    <w:rsid w:val="009F6B8D"/>
    <w:rsid w:val="00A00F0A"/>
    <w:rsid w:val="00A0215C"/>
    <w:rsid w:val="00A026FB"/>
    <w:rsid w:val="00A02A6E"/>
    <w:rsid w:val="00A06889"/>
    <w:rsid w:val="00A100CC"/>
    <w:rsid w:val="00A10539"/>
    <w:rsid w:val="00A136E4"/>
    <w:rsid w:val="00A14F47"/>
    <w:rsid w:val="00A17648"/>
    <w:rsid w:val="00A212B6"/>
    <w:rsid w:val="00A2232A"/>
    <w:rsid w:val="00A23C23"/>
    <w:rsid w:val="00A2659A"/>
    <w:rsid w:val="00A2717B"/>
    <w:rsid w:val="00A279EB"/>
    <w:rsid w:val="00A31926"/>
    <w:rsid w:val="00A32B46"/>
    <w:rsid w:val="00A35AC4"/>
    <w:rsid w:val="00A4022B"/>
    <w:rsid w:val="00A40437"/>
    <w:rsid w:val="00A42458"/>
    <w:rsid w:val="00A43158"/>
    <w:rsid w:val="00A4533E"/>
    <w:rsid w:val="00A45788"/>
    <w:rsid w:val="00A51503"/>
    <w:rsid w:val="00A51859"/>
    <w:rsid w:val="00A53A3A"/>
    <w:rsid w:val="00A5675D"/>
    <w:rsid w:val="00A5723B"/>
    <w:rsid w:val="00A64317"/>
    <w:rsid w:val="00A667E6"/>
    <w:rsid w:val="00A66B65"/>
    <w:rsid w:val="00A67572"/>
    <w:rsid w:val="00A7287D"/>
    <w:rsid w:val="00A73B6F"/>
    <w:rsid w:val="00A75848"/>
    <w:rsid w:val="00A775FD"/>
    <w:rsid w:val="00A82B82"/>
    <w:rsid w:val="00A8323F"/>
    <w:rsid w:val="00A8567B"/>
    <w:rsid w:val="00A92D5A"/>
    <w:rsid w:val="00A97EB8"/>
    <w:rsid w:val="00AA2C87"/>
    <w:rsid w:val="00AA46FF"/>
    <w:rsid w:val="00AA499D"/>
    <w:rsid w:val="00AA730A"/>
    <w:rsid w:val="00AB0545"/>
    <w:rsid w:val="00AB145C"/>
    <w:rsid w:val="00AB4D30"/>
    <w:rsid w:val="00AB57A5"/>
    <w:rsid w:val="00AB66C1"/>
    <w:rsid w:val="00AC47CD"/>
    <w:rsid w:val="00AC778F"/>
    <w:rsid w:val="00AC7FD1"/>
    <w:rsid w:val="00AD08D5"/>
    <w:rsid w:val="00AD1E3A"/>
    <w:rsid w:val="00AD724B"/>
    <w:rsid w:val="00AD72B4"/>
    <w:rsid w:val="00AD77A0"/>
    <w:rsid w:val="00AD78DF"/>
    <w:rsid w:val="00AD7C6B"/>
    <w:rsid w:val="00AE3153"/>
    <w:rsid w:val="00AE3E4F"/>
    <w:rsid w:val="00AE4EA7"/>
    <w:rsid w:val="00AF022D"/>
    <w:rsid w:val="00AF2197"/>
    <w:rsid w:val="00AF25DB"/>
    <w:rsid w:val="00AF59F9"/>
    <w:rsid w:val="00AF72A7"/>
    <w:rsid w:val="00B00CE2"/>
    <w:rsid w:val="00B05F02"/>
    <w:rsid w:val="00B1007F"/>
    <w:rsid w:val="00B1093B"/>
    <w:rsid w:val="00B12B9A"/>
    <w:rsid w:val="00B15BC4"/>
    <w:rsid w:val="00B17BEF"/>
    <w:rsid w:val="00B17EB3"/>
    <w:rsid w:val="00B22CCE"/>
    <w:rsid w:val="00B23652"/>
    <w:rsid w:val="00B2421F"/>
    <w:rsid w:val="00B316C3"/>
    <w:rsid w:val="00B40752"/>
    <w:rsid w:val="00B42859"/>
    <w:rsid w:val="00B43503"/>
    <w:rsid w:val="00B45473"/>
    <w:rsid w:val="00B4646F"/>
    <w:rsid w:val="00B46D29"/>
    <w:rsid w:val="00B47F41"/>
    <w:rsid w:val="00B53249"/>
    <w:rsid w:val="00B6064C"/>
    <w:rsid w:val="00B60881"/>
    <w:rsid w:val="00B61811"/>
    <w:rsid w:val="00B65C9F"/>
    <w:rsid w:val="00B6613C"/>
    <w:rsid w:val="00B66F41"/>
    <w:rsid w:val="00B67616"/>
    <w:rsid w:val="00B73350"/>
    <w:rsid w:val="00B75C79"/>
    <w:rsid w:val="00B76A26"/>
    <w:rsid w:val="00B77901"/>
    <w:rsid w:val="00B80543"/>
    <w:rsid w:val="00B835C7"/>
    <w:rsid w:val="00B85B62"/>
    <w:rsid w:val="00B9287D"/>
    <w:rsid w:val="00B93A93"/>
    <w:rsid w:val="00B95585"/>
    <w:rsid w:val="00B95959"/>
    <w:rsid w:val="00B95D7C"/>
    <w:rsid w:val="00BA0C97"/>
    <w:rsid w:val="00BA0F08"/>
    <w:rsid w:val="00BA65E3"/>
    <w:rsid w:val="00BB38F1"/>
    <w:rsid w:val="00BC22D5"/>
    <w:rsid w:val="00BC735F"/>
    <w:rsid w:val="00BD096A"/>
    <w:rsid w:val="00BD0DE9"/>
    <w:rsid w:val="00BD5A52"/>
    <w:rsid w:val="00BE140F"/>
    <w:rsid w:val="00BE2A90"/>
    <w:rsid w:val="00BE68C8"/>
    <w:rsid w:val="00BF189C"/>
    <w:rsid w:val="00BF2CA1"/>
    <w:rsid w:val="00BF3B75"/>
    <w:rsid w:val="00C015B2"/>
    <w:rsid w:val="00C045A7"/>
    <w:rsid w:val="00C04A43"/>
    <w:rsid w:val="00C079C4"/>
    <w:rsid w:val="00C13D8B"/>
    <w:rsid w:val="00C141C1"/>
    <w:rsid w:val="00C151A5"/>
    <w:rsid w:val="00C235EA"/>
    <w:rsid w:val="00C23AEB"/>
    <w:rsid w:val="00C33EA5"/>
    <w:rsid w:val="00C41DCF"/>
    <w:rsid w:val="00C44C0C"/>
    <w:rsid w:val="00C50123"/>
    <w:rsid w:val="00C60EF4"/>
    <w:rsid w:val="00C63A97"/>
    <w:rsid w:val="00C6616F"/>
    <w:rsid w:val="00C67719"/>
    <w:rsid w:val="00C73455"/>
    <w:rsid w:val="00C73463"/>
    <w:rsid w:val="00C749C4"/>
    <w:rsid w:val="00C74FC6"/>
    <w:rsid w:val="00C753B2"/>
    <w:rsid w:val="00C81D6A"/>
    <w:rsid w:val="00C920D7"/>
    <w:rsid w:val="00C93A62"/>
    <w:rsid w:val="00C94E57"/>
    <w:rsid w:val="00CA3609"/>
    <w:rsid w:val="00CA4295"/>
    <w:rsid w:val="00CB4A57"/>
    <w:rsid w:val="00CB6087"/>
    <w:rsid w:val="00CC16A2"/>
    <w:rsid w:val="00CC2883"/>
    <w:rsid w:val="00CC3629"/>
    <w:rsid w:val="00CC37D2"/>
    <w:rsid w:val="00CC433A"/>
    <w:rsid w:val="00CC656E"/>
    <w:rsid w:val="00CC7C26"/>
    <w:rsid w:val="00CD3041"/>
    <w:rsid w:val="00CE39D8"/>
    <w:rsid w:val="00CE39F6"/>
    <w:rsid w:val="00CF1565"/>
    <w:rsid w:val="00CF6E71"/>
    <w:rsid w:val="00CF70CE"/>
    <w:rsid w:val="00D060D9"/>
    <w:rsid w:val="00D1011F"/>
    <w:rsid w:val="00D14A90"/>
    <w:rsid w:val="00D221A0"/>
    <w:rsid w:val="00D241DA"/>
    <w:rsid w:val="00D31288"/>
    <w:rsid w:val="00D32D70"/>
    <w:rsid w:val="00D46427"/>
    <w:rsid w:val="00D47A53"/>
    <w:rsid w:val="00D535C7"/>
    <w:rsid w:val="00D64438"/>
    <w:rsid w:val="00D6708A"/>
    <w:rsid w:val="00D701B3"/>
    <w:rsid w:val="00D7108A"/>
    <w:rsid w:val="00D744CC"/>
    <w:rsid w:val="00D74FA4"/>
    <w:rsid w:val="00D83250"/>
    <w:rsid w:val="00D833BB"/>
    <w:rsid w:val="00D8478C"/>
    <w:rsid w:val="00D84F05"/>
    <w:rsid w:val="00D93493"/>
    <w:rsid w:val="00D95070"/>
    <w:rsid w:val="00DA2FCC"/>
    <w:rsid w:val="00DA3307"/>
    <w:rsid w:val="00DA492E"/>
    <w:rsid w:val="00DA6C70"/>
    <w:rsid w:val="00DA6F50"/>
    <w:rsid w:val="00DC3A31"/>
    <w:rsid w:val="00DC6DBE"/>
    <w:rsid w:val="00DD22CD"/>
    <w:rsid w:val="00DE0491"/>
    <w:rsid w:val="00DE0878"/>
    <w:rsid w:val="00DE3715"/>
    <w:rsid w:val="00DE5D87"/>
    <w:rsid w:val="00DF00AD"/>
    <w:rsid w:val="00DF097B"/>
    <w:rsid w:val="00DF49F6"/>
    <w:rsid w:val="00DF4A38"/>
    <w:rsid w:val="00DF63E6"/>
    <w:rsid w:val="00DF6672"/>
    <w:rsid w:val="00E05797"/>
    <w:rsid w:val="00E07928"/>
    <w:rsid w:val="00E07CE2"/>
    <w:rsid w:val="00E12DFE"/>
    <w:rsid w:val="00E162F5"/>
    <w:rsid w:val="00E21D55"/>
    <w:rsid w:val="00E21F97"/>
    <w:rsid w:val="00E22E1B"/>
    <w:rsid w:val="00E23950"/>
    <w:rsid w:val="00E305EA"/>
    <w:rsid w:val="00E30B95"/>
    <w:rsid w:val="00E3106A"/>
    <w:rsid w:val="00E32609"/>
    <w:rsid w:val="00E36523"/>
    <w:rsid w:val="00E40CE0"/>
    <w:rsid w:val="00E44C76"/>
    <w:rsid w:val="00E46F5C"/>
    <w:rsid w:val="00E47846"/>
    <w:rsid w:val="00E4797B"/>
    <w:rsid w:val="00E50E1D"/>
    <w:rsid w:val="00E51DEB"/>
    <w:rsid w:val="00E54AF0"/>
    <w:rsid w:val="00E56F60"/>
    <w:rsid w:val="00E60055"/>
    <w:rsid w:val="00E61641"/>
    <w:rsid w:val="00E62AC9"/>
    <w:rsid w:val="00E63ABA"/>
    <w:rsid w:val="00E6582E"/>
    <w:rsid w:val="00E706A0"/>
    <w:rsid w:val="00E7291A"/>
    <w:rsid w:val="00E73C03"/>
    <w:rsid w:val="00E73E52"/>
    <w:rsid w:val="00E760BA"/>
    <w:rsid w:val="00E81372"/>
    <w:rsid w:val="00E84CBA"/>
    <w:rsid w:val="00E90A9E"/>
    <w:rsid w:val="00E91ABB"/>
    <w:rsid w:val="00E963A8"/>
    <w:rsid w:val="00E9702F"/>
    <w:rsid w:val="00EA30E2"/>
    <w:rsid w:val="00EB0625"/>
    <w:rsid w:val="00EB277B"/>
    <w:rsid w:val="00EB2A0F"/>
    <w:rsid w:val="00EB5212"/>
    <w:rsid w:val="00EB7E2E"/>
    <w:rsid w:val="00EC1740"/>
    <w:rsid w:val="00EC1C05"/>
    <w:rsid w:val="00EC28A2"/>
    <w:rsid w:val="00EC338A"/>
    <w:rsid w:val="00EC6D2A"/>
    <w:rsid w:val="00EC7599"/>
    <w:rsid w:val="00ED0B84"/>
    <w:rsid w:val="00ED0E36"/>
    <w:rsid w:val="00ED1CD0"/>
    <w:rsid w:val="00ED4370"/>
    <w:rsid w:val="00ED4FA4"/>
    <w:rsid w:val="00ED5998"/>
    <w:rsid w:val="00ED6C2D"/>
    <w:rsid w:val="00EE38DC"/>
    <w:rsid w:val="00EE391A"/>
    <w:rsid w:val="00EE3B95"/>
    <w:rsid w:val="00EE4678"/>
    <w:rsid w:val="00EF0417"/>
    <w:rsid w:val="00EF06B8"/>
    <w:rsid w:val="00EF54BB"/>
    <w:rsid w:val="00EF6158"/>
    <w:rsid w:val="00EF75A9"/>
    <w:rsid w:val="00F0061A"/>
    <w:rsid w:val="00F05ACB"/>
    <w:rsid w:val="00F11936"/>
    <w:rsid w:val="00F16305"/>
    <w:rsid w:val="00F17A82"/>
    <w:rsid w:val="00F32291"/>
    <w:rsid w:val="00F33A60"/>
    <w:rsid w:val="00F524F9"/>
    <w:rsid w:val="00F52FC4"/>
    <w:rsid w:val="00F54C3B"/>
    <w:rsid w:val="00F553E6"/>
    <w:rsid w:val="00F56CC7"/>
    <w:rsid w:val="00F64A7E"/>
    <w:rsid w:val="00F67F13"/>
    <w:rsid w:val="00F7175C"/>
    <w:rsid w:val="00F72E9F"/>
    <w:rsid w:val="00F75C63"/>
    <w:rsid w:val="00F8005C"/>
    <w:rsid w:val="00F80EE8"/>
    <w:rsid w:val="00F960CE"/>
    <w:rsid w:val="00FA28F1"/>
    <w:rsid w:val="00FA5D21"/>
    <w:rsid w:val="00FA6C51"/>
    <w:rsid w:val="00FB07E2"/>
    <w:rsid w:val="00FB1FD6"/>
    <w:rsid w:val="00FB3F79"/>
    <w:rsid w:val="00FB3FEA"/>
    <w:rsid w:val="00FB61BD"/>
    <w:rsid w:val="00FB7189"/>
    <w:rsid w:val="00FC341D"/>
    <w:rsid w:val="00FC45EB"/>
    <w:rsid w:val="00FD0F19"/>
    <w:rsid w:val="00FE036B"/>
    <w:rsid w:val="00FE7E57"/>
    <w:rsid w:val="00FF10BC"/>
    <w:rsid w:val="00FF338D"/>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7BBB57"/>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DB7"/>
  </w:style>
  <w:style w:type="paragraph" w:styleId="Ttulo1">
    <w:name w:val="heading 1"/>
    <w:basedOn w:val="Normal"/>
    <w:next w:val="Normal"/>
    <w:link w:val="Ttulo1Car"/>
    <w:uiPriority w:val="9"/>
    <w:qFormat/>
    <w:rsid w:val="00341B37"/>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rPr>
      <w:b/>
      <w:bCs/>
      <w:smallCaps/>
      <w:color w:val="44546A" w:themeColor="text2"/>
    </w:rPr>
  </w:style>
  <w:style w:type="paragraph" w:styleId="Ttulo">
    <w:name w:val="Title"/>
    <w:basedOn w:val="Normal"/>
    <w:next w:val="Normal"/>
    <w:link w:val="TtuloCar"/>
    <w:uiPriority w:val="10"/>
    <w:qFormat/>
    <w:rsid w:val="00341B37"/>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character" w:customStyle="1" w:styleId="PrrafodelistaCar">
    <w:name w:val="Párrafo de lista Car"/>
    <w:basedOn w:val="Fuentedeprrafopredeter"/>
    <w:link w:val="Prrafodelista"/>
    <w:uiPriority w:val="34"/>
    <w:locked/>
    <w:rsid w:val="007F1DB4"/>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paragraph" w:styleId="TDC1">
    <w:name w:val="toc 1"/>
    <w:basedOn w:val="Normal"/>
    <w:next w:val="Normal"/>
    <w:autoRedefine/>
    <w:uiPriority w:val="39"/>
    <w:unhideWhenUsed/>
    <w:rsid w:val="00EC28A2"/>
    <w:pPr>
      <w:tabs>
        <w:tab w:val="left" w:pos="440"/>
        <w:tab w:val="right" w:leader="dot" w:pos="8647"/>
      </w:tabs>
      <w:spacing w:after="100"/>
      <w:ind w:right="191"/>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paragraph" w:styleId="Revisin">
    <w:name w:val="Revision"/>
    <w:hidden/>
    <w:uiPriority w:val="99"/>
    <w:semiHidden/>
    <w:rsid w:val="00B93A93"/>
  </w:style>
  <w:style w:type="character" w:styleId="Mencinsinresolver">
    <w:name w:val="Unresolved Mention"/>
    <w:basedOn w:val="Fuentedeprrafopredeter"/>
    <w:uiPriority w:val="99"/>
    <w:semiHidden/>
    <w:unhideWhenUsed/>
    <w:rsid w:val="004B7E1B"/>
    <w:rPr>
      <w:color w:val="605E5C"/>
      <w:shd w:val="clear" w:color="auto" w:fill="E1DFDD"/>
    </w:rPr>
  </w:style>
  <w:style w:type="paragraph" w:styleId="Textonotapie">
    <w:name w:val="footnote text"/>
    <w:basedOn w:val="Normal"/>
    <w:link w:val="TextonotapieCar"/>
    <w:uiPriority w:val="99"/>
    <w:semiHidden/>
    <w:unhideWhenUsed/>
    <w:rsid w:val="00D47A53"/>
    <w:rPr>
      <w:sz w:val="20"/>
      <w:szCs w:val="20"/>
    </w:rPr>
  </w:style>
  <w:style w:type="character" w:customStyle="1" w:styleId="TextonotapieCar">
    <w:name w:val="Texto nota pie Car"/>
    <w:basedOn w:val="Fuentedeprrafopredeter"/>
    <w:link w:val="Textonotapie"/>
    <w:uiPriority w:val="99"/>
    <w:semiHidden/>
    <w:rsid w:val="00D47A53"/>
    <w:rPr>
      <w:sz w:val="20"/>
      <w:szCs w:val="20"/>
    </w:rPr>
  </w:style>
  <w:style w:type="character" w:styleId="Refdenotaalpie">
    <w:name w:val="footnote reference"/>
    <w:basedOn w:val="Fuentedeprrafopredeter"/>
    <w:uiPriority w:val="99"/>
    <w:semiHidden/>
    <w:unhideWhenUsed/>
    <w:rsid w:val="00D4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9089">
      <w:bodyDiv w:val="1"/>
      <w:marLeft w:val="0"/>
      <w:marRight w:val="0"/>
      <w:marTop w:val="0"/>
      <w:marBottom w:val="0"/>
      <w:divBdr>
        <w:top w:val="none" w:sz="0" w:space="0" w:color="auto"/>
        <w:left w:val="none" w:sz="0" w:space="0" w:color="auto"/>
        <w:bottom w:val="none" w:sz="0" w:space="0" w:color="auto"/>
        <w:right w:val="none" w:sz="0" w:space="0" w:color="auto"/>
      </w:divBdr>
    </w:div>
    <w:div w:id="1187406449">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727680020">
      <w:bodyDiv w:val="1"/>
      <w:marLeft w:val="0"/>
      <w:marRight w:val="0"/>
      <w:marTop w:val="0"/>
      <w:marBottom w:val="0"/>
      <w:divBdr>
        <w:top w:val="none" w:sz="0" w:space="0" w:color="auto"/>
        <w:left w:val="none" w:sz="0" w:space="0" w:color="auto"/>
        <w:bottom w:val="none" w:sz="0" w:space="0" w:color="auto"/>
        <w:right w:val="none" w:sz="0" w:space="0" w:color="auto"/>
      </w:divBdr>
    </w:div>
    <w:div w:id="1887444065">
      <w:bodyDiv w:val="1"/>
      <w:marLeft w:val="0"/>
      <w:marRight w:val="0"/>
      <w:marTop w:val="0"/>
      <w:marBottom w:val="0"/>
      <w:divBdr>
        <w:top w:val="none" w:sz="0" w:space="0" w:color="auto"/>
        <w:left w:val="none" w:sz="0" w:space="0" w:color="auto"/>
        <w:bottom w:val="none" w:sz="0" w:space="0" w:color="auto"/>
        <w:right w:val="none" w:sz="0" w:space="0" w:color="auto"/>
      </w:divBdr>
    </w:div>
    <w:div w:id="2041398054">
      <w:bodyDiv w:val="1"/>
      <w:marLeft w:val="0"/>
      <w:marRight w:val="0"/>
      <w:marTop w:val="0"/>
      <w:marBottom w:val="0"/>
      <w:divBdr>
        <w:top w:val="none" w:sz="0" w:space="0" w:color="auto"/>
        <w:left w:val="none" w:sz="0" w:space="0" w:color="auto"/>
        <w:bottom w:val="none" w:sz="0" w:space="0" w:color="auto"/>
        <w:right w:val="none" w:sz="0" w:space="0" w:color="auto"/>
      </w:divBdr>
    </w:div>
    <w:div w:id="21463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4939E43C8C664409D5203039D116CE0" ma:contentTypeVersion="12" ma:contentTypeDescription="Crear nuevo documento." ma:contentTypeScope="" ma:versionID="41284e9e14d3f5907e5923937ce43ea0">
  <xsd:schema xmlns:xsd="http://www.w3.org/2001/XMLSchema" xmlns:xs="http://www.w3.org/2001/XMLSchema" xmlns:p="http://schemas.microsoft.com/office/2006/metadata/properties" xmlns:ns3="bb77a159-ac56-4220-9863-e3b6a4e3b526" xmlns:ns4="503ff56e-3103-4178-9f56-5e5645f13974" targetNamespace="http://schemas.microsoft.com/office/2006/metadata/properties" ma:root="true" ma:fieldsID="d1f2fd13381c324a813b31aeb322f367" ns3:_="" ns4:_="">
    <xsd:import namespace="bb77a159-ac56-4220-9863-e3b6a4e3b526"/>
    <xsd:import namespace="503ff56e-3103-4178-9f56-5e5645f139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a159-ac56-4220-9863-e3b6a4e3b52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ff56e-3103-4178-9f56-5e5645f139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DA7D-1EE2-432F-9874-C0D79D80B934}">
  <ds:schemaRefs>
    <ds:schemaRef ds:uri="http://www.w3.org/XML/1998/namespace"/>
    <ds:schemaRef ds:uri="503ff56e-3103-4178-9f56-5e5645f13974"/>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b77a159-ac56-4220-9863-e3b6a4e3b52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3.xml><?xml version="1.0" encoding="utf-8"?>
<ds:datastoreItem xmlns:ds="http://schemas.openxmlformats.org/officeDocument/2006/customXml" ds:itemID="{07311F3B-9EEA-4752-B47E-CD73BEB6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a159-ac56-4220-9863-e3b6a4e3b526"/>
    <ds:schemaRef ds:uri="503ff56e-3103-4178-9f56-5e5645f13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6C609-0349-46C6-AAE1-6ECCB7A5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4278</Words>
  <Characters>23534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Estefanie Jimenez Mendez</dc:creator>
  <cp:lastModifiedBy>Natalia Villalobos Quesada</cp:lastModifiedBy>
  <cp:revision>3</cp:revision>
  <cp:lastPrinted>2022-06-24T19:02:00Z</cp:lastPrinted>
  <dcterms:created xsi:type="dcterms:W3CDTF">2022-06-24T19:02:00Z</dcterms:created>
  <dcterms:modified xsi:type="dcterms:W3CDTF">2022-06-24T19:03:00Z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0x01010084939E43C8C664409D5203039D116CE0</vt:lpwstr>
  </property>
</Properties>
</file>