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6D24FD2D" w:rsidR="00352365" w:rsidRPr="00483CD2" w:rsidRDefault="00881F43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AGOSTO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6D24FD2D" w:rsidR="00352365" w:rsidRPr="00483CD2" w:rsidRDefault="00881F43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AGOSTO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0F0FE862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881F43">
        <w:rPr>
          <w:rFonts w:ascii="HendersonSansW00-BasicLight" w:hAnsi="HendersonSansW00-BasicLight"/>
          <w:b/>
        </w:rPr>
        <w:t>AGOSTO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304E7ADC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881F43">
        <w:rPr>
          <w:rFonts w:ascii="HendersonSansW00-BasicLight" w:hAnsi="HendersonSansW00-BasicLight"/>
        </w:rPr>
        <w:t>agosto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288823EA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698FB94F" w14:textId="6BA543A2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26535D">
        <w:rPr>
          <w:rFonts w:ascii="HendersonSansW00-BasicLight" w:hAnsi="HendersonSansW00-BasicLight"/>
        </w:rPr>
        <w:t>1</w:t>
      </w:r>
      <w:r w:rsidR="006E376D" w:rsidRPr="00AD6029">
        <w:rPr>
          <w:rFonts w:ascii="HendersonSansW00-BasicLight" w:hAnsi="HendersonSansW00-BasicLight"/>
        </w:rPr>
        <w:t>,</w:t>
      </w:r>
      <w:r w:rsidR="0026535D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% con respecto </w:t>
      </w:r>
      <w:r w:rsidR="00881F43">
        <w:rPr>
          <w:rFonts w:ascii="HendersonSansW00-BasicLight" w:hAnsi="HendersonSansW00-BasicLight"/>
        </w:rPr>
        <w:t>agosto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B07816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300AD1">
        <w:rPr>
          <w:rFonts w:ascii="HendersonSansW00-BasicLight" w:hAnsi="HendersonSansW00-BasicLight"/>
        </w:rPr>
        <w:t>2</w:t>
      </w:r>
      <w:r w:rsidR="00A805E9" w:rsidRPr="00AD6029">
        <w:rPr>
          <w:rFonts w:ascii="HendersonSansW00-BasicLight" w:hAnsi="HendersonSansW00-BasicLight"/>
        </w:rPr>
        <w:t>,</w:t>
      </w:r>
      <w:r w:rsidR="0026535D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%.</w:t>
      </w:r>
    </w:p>
    <w:p w14:paraId="49C4E83C" w14:textId="3682F6FD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881F43">
        <w:rPr>
          <w:rFonts w:ascii="HendersonSansW00-BasicLight" w:hAnsi="HendersonSansW00-BasicLight"/>
        </w:rPr>
        <w:t>agosto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5657FE">
        <w:rPr>
          <w:rFonts w:ascii="HendersonSansW00-BasicLight" w:hAnsi="HendersonSansW00-BasicLight"/>
        </w:rPr>
        <w:t>1</w:t>
      </w:r>
      <w:r w:rsidR="0003252A" w:rsidRPr="00AD6029">
        <w:rPr>
          <w:rFonts w:ascii="HendersonSansW00-BasicLight" w:hAnsi="HendersonSansW00-BasicLight"/>
        </w:rPr>
        <w:t>,</w:t>
      </w:r>
      <w:r w:rsidR="005657F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48B37BEA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8D2CCE">
        <w:rPr>
          <w:rFonts w:ascii="HendersonSansW00-BasicLight" w:hAnsi="HendersonSansW00-BasicLight"/>
        </w:rPr>
        <w:t>4</w:t>
      </w:r>
      <w:r w:rsidR="00F80877">
        <w:rPr>
          <w:rFonts w:ascii="HendersonSansW00-BasicLight" w:hAnsi="HendersonSansW00-BasicLight"/>
        </w:rPr>
        <w:t>.</w:t>
      </w:r>
      <w:r w:rsidR="005657FE">
        <w:rPr>
          <w:rFonts w:ascii="HendersonSansW00-BasicLight" w:hAnsi="HendersonSansW00-BasicLight"/>
        </w:rPr>
        <w:t>889</w:t>
      </w:r>
      <w:r w:rsidR="009559AC">
        <w:rPr>
          <w:rFonts w:ascii="HendersonSansW00-BasicLight" w:hAnsi="HendersonSansW00-BasicLight"/>
        </w:rPr>
        <w:t>.</w:t>
      </w:r>
      <w:r w:rsidR="00392EB1">
        <w:rPr>
          <w:rFonts w:ascii="HendersonSansW00-BasicLight" w:hAnsi="HendersonSansW00-BasicLight"/>
        </w:rPr>
        <w:t>1</w:t>
      </w:r>
      <w:r w:rsidR="005657FE">
        <w:rPr>
          <w:rFonts w:ascii="HendersonSansW00-BasicLight" w:hAnsi="HendersonSansW00-BasicLight"/>
        </w:rPr>
        <w:t>65</w:t>
      </w:r>
      <w:r w:rsidR="006E376D" w:rsidRPr="00AD6029">
        <w:rPr>
          <w:rFonts w:ascii="HendersonSansW00-BasicLight" w:hAnsi="HendersonSansW00-BasicLight"/>
        </w:rPr>
        <w:t>,</w:t>
      </w:r>
      <w:r w:rsidR="005657FE">
        <w:rPr>
          <w:rFonts w:ascii="HendersonSansW00-BasicLight" w:hAnsi="HendersonSansW00-BasicLight"/>
        </w:rPr>
        <w:t>9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392EB1">
        <w:rPr>
          <w:rFonts w:ascii="HendersonSansW00-BasicLight" w:hAnsi="HendersonSansW00-BasicLight"/>
        </w:rPr>
        <w:t>5</w:t>
      </w:r>
      <w:r w:rsidR="00F80877">
        <w:rPr>
          <w:rFonts w:ascii="HendersonSansW00-BasicLight" w:hAnsi="HendersonSansW00-BasicLight"/>
        </w:rPr>
        <w:t>.</w:t>
      </w:r>
      <w:r w:rsidR="005657FE">
        <w:rPr>
          <w:rFonts w:ascii="HendersonSansW00-BasicLight" w:hAnsi="HendersonSansW00-BasicLight"/>
        </w:rPr>
        <w:t>905</w:t>
      </w:r>
      <w:r w:rsidR="00133534">
        <w:rPr>
          <w:rFonts w:ascii="HendersonSansW00-BasicLight" w:hAnsi="HendersonSansW00-BasicLight"/>
        </w:rPr>
        <w:t>.</w:t>
      </w:r>
      <w:r w:rsidR="005657FE">
        <w:rPr>
          <w:rFonts w:ascii="HendersonSansW00-BasicLight" w:hAnsi="HendersonSansW00-BasicLight"/>
        </w:rPr>
        <w:t>176</w:t>
      </w:r>
      <w:r w:rsidR="00842F0A" w:rsidRPr="00AD6029">
        <w:rPr>
          <w:rFonts w:ascii="HendersonSansW00-BasicLight" w:hAnsi="HendersonSansW00-BasicLight"/>
        </w:rPr>
        <w:t>,</w:t>
      </w:r>
      <w:r w:rsidR="004F7194">
        <w:rPr>
          <w:rFonts w:ascii="HendersonSansW00-BasicLight" w:hAnsi="HendersonSansW00-BasicLight"/>
        </w:rPr>
        <w:t>4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0130B1">
        <w:rPr>
          <w:rFonts w:ascii="HendersonSansW00-BasicLight" w:hAnsi="HendersonSansW00-BasicLight"/>
        </w:rPr>
        <w:t>2</w:t>
      </w:r>
      <w:r w:rsidR="005272D5" w:rsidRPr="00AD6029">
        <w:rPr>
          <w:rFonts w:ascii="HendersonSansW00-BasicLight" w:hAnsi="HendersonSansW00-BasicLight"/>
        </w:rPr>
        <w:t>,</w:t>
      </w:r>
      <w:r w:rsidR="000130B1">
        <w:rPr>
          <w:rFonts w:ascii="HendersonSansW00-BasicLight" w:hAnsi="HendersonSansW00-BasicLight"/>
        </w:rPr>
        <w:t>0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0130B1">
        <w:rPr>
          <w:rFonts w:ascii="HendersonSansW00-BasicLight" w:hAnsi="HendersonSansW00-BasicLight"/>
        </w:rPr>
        <w:t>1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58EE9BDB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proofErr w:type="gramStart"/>
      <w:r w:rsidR="00881F43">
        <w:rPr>
          <w:rFonts w:ascii="HendersonSansW00-BasicLight" w:hAnsi="HendersonSansW00-BasicLight"/>
          <w:b/>
          <w:bCs/>
          <w:sz w:val="18"/>
          <w:szCs w:val="18"/>
        </w:rPr>
        <w:t>Agosto</w:t>
      </w:r>
      <w:proofErr w:type="gramEnd"/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00BDCF03" w:rsidR="0022749E" w:rsidRPr="000A4ABE" w:rsidRDefault="00D527DA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0CBB4B7C" wp14:editId="52CE9795">
            <wp:extent cx="2941320" cy="2838450"/>
            <wp:effectExtent l="0" t="0" r="11430" b="0"/>
            <wp:docPr id="18138815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498C0CE" w14:textId="0846D4D6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INGRESOS:</w:t>
      </w:r>
    </w:p>
    <w:p w14:paraId="53298410" w14:textId="2DC8C11C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881F43">
        <w:rPr>
          <w:rFonts w:ascii="HendersonSansW00-BasicLight" w:hAnsi="HendersonSansW00-BasicLight"/>
        </w:rPr>
        <w:t>agosto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3F60A4">
        <w:rPr>
          <w:rFonts w:ascii="HendersonSansW00-BasicLight" w:hAnsi="HendersonSansW00-BasicLight"/>
        </w:rPr>
        <w:t>4</w:t>
      </w:r>
      <w:r w:rsidR="007965A6">
        <w:rPr>
          <w:rFonts w:ascii="HendersonSansW00-BasicLight" w:hAnsi="HendersonSansW00-BasicLight"/>
        </w:rPr>
        <w:t>.</w:t>
      </w:r>
      <w:r w:rsidR="00D527DA">
        <w:rPr>
          <w:rFonts w:ascii="HendersonSansW00-BasicLight" w:hAnsi="HendersonSansW00-BasicLight"/>
        </w:rPr>
        <w:t>889.</w:t>
      </w:r>
      <w:r w:rsidR="003F60A4">
        <w:rPr>
          <w:rFonts w:ascii="HendersonSansW00-BasicLight" w:hAnsi="HendersonSansW00-BasicLight"/>
        </w:rPr>
        <w:t>1</w:t>
      </w:r>
      <w:r w:rsidR="00D527DA">
        <w:rPr>
          <w:rFonts w:ascii="HendersonSansW00-BasicLight" w:hAnsi="HendersonSansW00-BasicLight"/>
        </w:rPr>
        <w:t>65</w:t>
      </w:r>
      <w:r w:rsidR="006E61DF">
        <w:rPr>
          <w:rFonts w:ascii="HendersonSansW00-BasicLight" w:hAnsi="HendersonSansW00-BasicLight"/>
        </w:rPr>
        <w:t>,</w:t>
      </w:r>
      <w:r w:rsidR="00D527DA">
        <w:rPr>
          <w:rFonts w:ascii="HendersonSansW00-BasicLight" w:hAnsi="HendersonSansW00-BasicLight"/>
        </w:rPr>
        <w:t>9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7A4133">
        <w:rPr>
          <w:rFonts w:ascii="HendersonSansW00-BasicLight" w:hAnsi="HendersonSansW00-BasicLight"/>
        </w:rPr>
        <w:t>1</w:t>
      </w:r>
      <w:r w:rsidR="003331A1" w:rsidRPr="00AD6029">
        <w:rPr>
          <w:rFonts w:ascii="HendersonSansW00-BasicLight" w:hAnsi="HendersonSansW00-BasicLight"/>
        </w:rPr>
        <w:t>,</w:t>
      </w:r>
      <w:r w:rsidR="007A4133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 xml:space="preserve">En siguiente gráfico se </w:t>
      </w:r>
      <w:r w:rsidR="004A624B" w:rsidRPr="00AD6029">
        <w:rPr>
          <w:rFonts w:ascii="HendersonSansW00-BasicLight" w:hAnsi="HendersonSansW00-BasicLight"/>
        </w:rPr>
        <w:lastRenderedPageBreak/>
        <w:t>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33C44924" w:rsidR="0022749E" w:rsidRPr="00CB393B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D4DA1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8602EE5" w14:textId="432F6C53" w:rsidR="00F36931" w:rsidRPr="00AD6029" w:rsidRDefault="007A413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0D5B7A88" wp14:editId="29BEB385">
            <wp:extent cx="2941320" cy="3022600"/>
            <wp:effectExtent l="0" t="0" r="11430" b="6350"/>
            <wp:docPr id="14625346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F3DCD6" w14:textId="632C176B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26BC8D3" w14:textId="77777777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3BD15F08" w14:textId="2A30CC18" w:rsidR="00273C10" w:rsidRPr="00AD6029" w:rsidRDefault="00A1200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315ACD">
        <w:rPr>
          <w:rFonts w:ascii="HendersonSansW00-BasicLight" w:hAnsi="HendersonSansW00-BasicLight"/>
        </w:rPr>
        <w:t>4</w:t>
      </w:r>
      <w:r w:rsidR="00314942">
        <w:rPr>
          <w:rFonts w:ascii="HendersonSansW00-BasicLight" w:hAnsi="HendersonSansW00-BasicLight"/>
        </w:rPr>
        <w:t>.</w:t>
      </w:r>
      <w:r w:rsidR="00315ACD">
        <w:rPr>
          <w:rFonts w:ascii="HendersonSansW00-BasicLight" w:hAnsi="HendersonSansW00-BasicLight"/>
        </w:rPr>
        <w:t>323</w:t>
      </w:r>
      <w:r w:rsidR="00C00D66" w:rsidRPr="00AD6029">
        <w:rPr>
          <w:rFonts w:ascii="HendersonSansW00-BasicLight" w:hAnsi="HendersonSansW00-BasicLight"/>
        </w:rPr>
        <w:t>.</w:t>
      </w:r>
      <w:r w:rsidR="00315ACD">
        <w:rPr>
          <w:rFonts w:ascii="HendersonSansW00-BasicLight" w:hAnsi="HendersonSansW00-BasicLight"/>
        </w:rPr>
        <w:t>751</w:t>
      </w:r>
      <w:r w:rsidR="009320AF" w:rsidRPr="00AD6029">
        <w:rPr>
          <w:rFonts w:ascii="HendersonSansW00-BasicLight" w:hAnsi="HendersonSansW00-BasicLight"/>
        </w:rPr>
        <w:t>,</w:t>
      </w:r>
      <w:r w:rsidR="00315ACD">
        <w:rPr>
          <w:rFonts w:ascii="HendersonSansW00-BasicLight" w:hAnsi="HendersonSansW00-BasicLight"/>
        </w:rPr>
        <w:t>6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343B8E">
        <w:rPr>
          <w:rFonts w:ascii="HendersonSansW00-BasicLight" w:hAnsi="HendersonSansW00-BasicLight"/>
        </w:rPr>
        <w:t>1</w:t>
      </w:r>
      <w:r w:rsidR="00DD6360" w:rsidRPr="00AD6029">
        <w:rPr>
          <w:rFonts w:ascii="HendersonSansW00-BasicLight" w:hAnsi="HendersonSansW00-BasicLight"/>
        </w:rPr>
        <w:t>,</w:t>
      </w:r>
      <w:r w:rsidR="00343B8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881F43">
        <w:rPr>
          <w:rFonts w:ascii="HendersonSansW00-BasicLight" w:hAnsi="HendersonSansW00-BasicLight"/>
        </w:rPr>
        <w:t>agosto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343B8E">
        <w:rPr>
          <w:rFonts w:ascii="HendersonSansW00-BasicLight" w:hAnsi="HendersonSansW00-BasicLight"/>
        </w:rPr>
        <w:t>4</w:t>
      </w:r>
      <w:r w:rsidR="00822E33">
        <w:rPr>
          <w:rFonts w:ascii="HendersonSansW00-BasicLight" w:hAnsi="HendersonSansW00-BasicLight"/>
        </w:rPr>
        <w:t>.</w:t>
      </w:r>
      <w:r w:rsidR="00343B8E">
        <w:rPr>
          <w:rFonts w:ascii="HendersonSansW00-BasicLight" w:hAnsi="HendersonSansW00-BasicLight"/>
        </w:rPr>
        <w:t>253</w:t>
      </w:r>
      <w:r w:rsidR="00231440" w:rsidRPr="00AD6029">
        <w:rPr>
          <w:rFonts w:ascii="HendersonSansW00-BasicLight" w:hAnsi="HendersonSansW00-BasicLight"/>
        </w:rPr>
        <w:t>.</w:t>
      </w:r>
      <w:r w:rsidR="00343B8E">
        <w:rPr>
          <w:rFonts w:ascii="HendersonSansW00-BasicLight" w:hAnsi="HendersonSansW00-BasicLight"/>
        </w:rPr>
        <w:t>751</w:t>
      </w:r>
      <w:r w:rsidR="00431C63" w:rsidRPr="00AD6029">
        <w:rPr>
          <w:rFonts w:ascii="HendersonSansW00-BasicLight" w:hAnsi="HendersonSansW00-BasicLight"/>
        </w:rPr>
        <w:t>,</w:t>
      </w:r>
      <w:r w:rsidR="00343B8E">
        <w:rPr>
          <w:rFonts w:ascii="HendersonSansW00-BasicLight" w:hAnsi="HendersonSansW00-BasicLight"/>
        </w:rPr>
        <w:t>6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36F8FC07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44FAAB8E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68CA5402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C398C6A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6E3BC53C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0409E17D" w14:textId="77777777" w:rsidR="00D157D9" w:rsidRDefault="00D157D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8111B02" w14:textId="77777777" w:rsidR="00D157D9" w:rsidRDefault="00D157D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9CF19C7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6BACCE05" w14:textId="77777777" w:rsidR="00F86B12" w:rsidRDefault="00F86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64CA2190" w14:textId="167A44C4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670B5231" w:rsidR="0022749E" w:rsidRPr="00CB393B" w:rsidRDefault="00881F43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CF5475F" w14:textId="6EC85842" w:rsidR="00384A61" w:rsidRPr="00AD6029" w:rsidRDefault="00CD324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6EED18B" wp14:editId="3EFC5C06">
            <wp:extent cx="2838450" cy="2686050"/>
            <wp:effectExtent l="0" t="0" r="0" b="0"/>
            <wp:docPr id="4828745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33AF5" w14:textId="32BACB09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bookmarkStart w:id="0" w:name="_Hlk202878647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0CC9B6C7" w14:textId="679815EA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acumulada en “otros ingresos tributarios” al mes de </w:t>
      </w:r>
      <w:r w:rsidR="00881F43">
        <w:rPr>
          <w:rFonts w:ascii="HendersonSansW00-BasicLight" w:hAnsi="HendersonSansW00-BasicLight"/>
        </w:rPr>
        <w:t>agosto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7473096A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62714789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881F43" w:rsidRPr="00CB393B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A6975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219C9DE9" w:rsidR="002B28C7" w:rsidRDefault="00B159B4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B159B4">
        <w:rPr>
          <w:noProof/>
        </w:rPr>
        <w:drawing>
          <wp:inline distT="0" distB="0" distL="0" distR="0" wp14:anchorId="13281DDF" wp14:editId="25479C9F">
            <wp:extent cx="2895502" cy="1657350"/>
            <wp:effectExtent l="0" t="0" r="635" b="0"/>
            <wp:docPr id="635440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31" cy="168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1B96F132" w14:textId="5FE1139E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924243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D27633">
        <w:rPr>
          <w:rFonts w:ascii="HendersonSansW00-BasicLight" w:hAnsi="HendersonSansW00-BasicLight"/>
        </w:rPr>
        <w:t>0</w:t>
      </w:r>
      <w:r w:rsidR="00121768" w:rsidRPr="00AD6029">
        <w:rPr>
          <w:rFonts w:ascii="HendersonSansW00-BasicLight" w:hAnsi="HendersonSansW00-BasicLight"/>
        </w:rPr>
        <w:t>,</w:t>
      </w:r>
      <w:r w:rsidR="009B563A" w:rsidDel="009B563A">
        <w:rPr>
          <w:rFonts w:ascii="HendersonSansW00-BasicLight" w:hAnsi="HendersonSansW00-BasicLight"/>
        </w:rPr>
        <w:t xml:space="preserve"> </w:t>
      </w:r>
      <w:r w:rsidR="00B159B4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220740">
        <w:rPr>
          <w:rFonts w:ascii="HendersonSansW00-BasicLight" w:hAnsi="HendersonSansW00-BasicLight"/>
        </w:rPr>
        <w:t>la</w:t>
      </w:r>
      <w:r w:rsidR="008D59C1">
        <w:rPr>
          <w:rFonts w:ascii="HendersonSansW00-BasicLight" w:hAnsi="HendersonSansW00-BasicLight"/>
        </w:rPr>
        <w:t xml:space="preserve"> </w:t>
      </w:r>
      <w:r w:rsidR="00220740">
        <w:rPr>
          <w:rFonts w:ascii="HendersonSansW00-BasicLight" w:hAnsi="HendersonSansW00-BasicLight"/>
        </w:rPr>
        <w:t>caída</w:t>
      </w:r>
      <w:r w:rsidR="00FB2C5D">
        <w:rPr>
          <w:rFonts w:ascii="HendersonSansW00-BasicLight" w:hAnsi="HendersonSansW00-BasicLight"/>
        </w:rPr>
        <w:t xml:space="preserve"> en el </w:t>
      </w:r>
      <w:r w:rsidR="009B563A">
        <w:rPr>
          <w:rFonts w:ascii="HendersonSansW00-BasicLight" w:hAnsi="HendersonSansW00-BasicLight"/>
        </w:rPr>
        <w:t xml:space="preserve">Impuesto Único </w:t>
      </w:r>
      <w:r w:rsidR="00F82A75">
        <w:rPr>
          <w:rFonts w:ascii="HendersonSansW00-BasicLight" w:hAnsi="HendersonSansW00-BasicLight"/>
        </w:rPr>
        <w:t xml:space="preserve">a los </w:t>
      </w:r>
      <w:r w:rsidR="009B563A">
        <w:rPr>
          <w:rFonts w:ascii="HendersonSansW00-BasicLight" w:hAnsi="HendersonSansW00-BasicLight"/>
        </w:rPr>
        <w:lastRenderedPageBreak/>
        <w:t xml:space="preserve">Combustibles y el Impuesto </w:t>
      </w:r>
      <w:r w:rsidR="009B6D7C">
        <w:rPr>
          <w:rFonts w:ascii="HendersonSansW00-BasicLight" w:hAnsi="HendersonSansW00-BasicLight"/>
        </w:rPr>
        <w:t>al Tabaco.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43462705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4975F4">
        <w:rPr>
          <w:rFonts w:ascii="HendersonSansW00-BasicLight" w:hAnsi="HendersonSansW00-BasicLight"/>
        </w:rPr>
        <w:t>8</w:t>
      </w:r>
      <w:r w:rsidR="009914F4" w:rsidRPr="00AD6029">
        <w:rPr>
          <w:rFonts w:ascii="HendersonSansW00-BasicLight" w:hAnsi="HendersonSansW00-BasicLight"/>
        </w:rPr>
        <w:t>,</w:t>
      </w:r>
      <w:r w:rsidR="008061E8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combustibles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097F0C0F" w14:textId="1931C29C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2A5C80">
        <w:rPr>
          <w:rFonts w:ascii="HendersonSansW00-BasicLight" w:hAnsi="HendersonSansW00-BasicLight"/>
        </w:rPr>
        <w:t>6</w:t>
      </w:r>
      <w:r w:rsidR="00A75658">
        <w:rPr>
          <w:rFonts w:ascii="HendersonSansW00-BasicLight" w:hAnsi="HendersonSansW00-BasicLight"/>
        </w:rPr>
        <w:t>,</w:t>
      </w:r>
      <w:r w:rsidR="002A5C80">
        <w:rPr>
          <w:rFonts w:ascii="HendersonSansW00-BasicLight" w:hAnsi="HendersonSansW00-BasicLight"/>
        </w:rPr>
        <w:t>3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2A5C80">
        <w:rPr>
          <w:rFonts w:ascii="HendersonSansW00-BasicLight" w:hAnsi="HendersonSansW00-BasicLight"/>
        </w:rPr>
        <w:t>8</w:t>
      </w:r>
      <w:r w:rsidR="00006C60" w:rsidRPr="002B0C04">
        <w:rPr>
          <w:rFonts w:ascii="HendersonSansW00-BasicLight" w:hAnsi="HendersonSansW00-BasicLight"/>
        </w:rPr>
        <w:t>,</w:t>
      </w:r>
      <w:r w:rsidR="002A5C80">
        <w:rPr>
          <w:rFonts w:ascii="HendersonSansW00-BasicLight" w:hAnsi="HendersonSansW00-BasicLight"/>
        </w:rPr>
        <w:t>2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77777777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523F54BD" w:rsidR="00921881" w:rsidRPr="00D157D9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54849910" w14:textId="4E3CBBB9" w:rsidR="001C0272" w:rsidRPr="00AD6029" w:rsidRDefault="002A5C80" w:rsidP="003E38F7">
      <w:pPr>
        <w:pStyle w:val="Sinespaciado"/>
        <w:jc w:val="center"/>
        <w:rPr>
          <w:rFonts w:ascii="HendersonSansW00-BasicLight" w:hAnsi="HendersonSansW00-BasicLight"/>
        </w:rPr>
      </w:pPr>
      <w:r w:rsidRPr="00D157D9">
        <w:rPr>
          <w:rFonts w:ascii="HendersonSansW00-BasicLight" w:hAnsi="HendersonSansW00-BasicLight"/>
          <w:noProof/>
          <w:sz w:val="14"/>
          <w:szCs w:val="14"/>
        </w:rPr>
        <w:drawing>
          <wp:inline distT="0" distB="0" distL="0" distR="0" wp14:anchorId="0AFA9708" wp14:editId="7958F458">
            <wp:extent cx="2743200" cy="3009900"/>
            <wp:effectExtent l="0" t="0" r="0" b="0"/>
            <wp:docPr id="17575202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7306BB" w14:textId="1AD1EB7B" w:rsidR="00D936E4" w:rsidRPr="00AD6029" w:rsidRDefault="002C2BE1" w:rsidP="003E38F7">
      <w:pPr>
        <w:pStyle w:val="Sinespaciado"/>
        <w:spacing w:after="240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 A LOS INGRESOS Y UTILIDADES:</w:t>
      </w:r>
    </w:p>
    <w:p w14:paraId="3CB21AB1" w14:textId="2245AC2E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881F43">
        <w:rPr>
          <w:rFonts w:ascii="HendersonSansW00-BasicLight" w:hAnsi="HendersonSansW00-BasicLight"/>
        </w:rPr>
        <w:t>agosto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CA789E">
        <w:rPr>
          <w:rFonts w:ascii="HendersonSansW00-BasicLight" w:hAnsi="HendersonSansW00-BasicLight"/>
        </w:rPr>
        <w:t>1</w:t>
      </w:r>
      <w:r w:rsidR="007D47AB">
        <w:rPr>
          <w:rFonts w:ascii="HendersonSansW00-BasicLight" w:hAnsi="HendersonSansW00-BasicLight"/>
        </w:rPr>
        <w:t>30</w:t>
      </w:r>
      <w:r w:rsidR="001A488A" w:rsidRPr="00AD6029">
        <w:rPr>
          <w:rFonts w:ascii="HendersonSansW00-BasicLight" w:hAnsi="HendersonSansW00-BasicLight"/>
        </w:rPr>
        <w:t>.</w:t>
      </w:r>
      <w:r w:rsidR="007D47AB">
        <w:rPr>
          <w:rFonts w:ascii="HendersonSansW00-BasicLight" w:hAnsi="HendersonSansW00-BasicLight"/>
        </w:rPr>
        <w:t>417</w:t>
      </w:r>
      <w:r w:rsidR="000B6DCC">
        <w:rPr>
          <w:rFonts w:ascii="HendersonSansW00-BasicLight" w:hAnsi="HendersonSansW00-BasicLight"/>
        </w:rPr>
        <w:t>,</w:t>
      </w:r>
      <w:r w:rsidR="00BC123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51C5CB0B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290D0A">
        <w:rPr>
          <w:rFonts w:ascii="HendersonSansW00-BasicLight" w:hAnsi="HendersonSansW00-BasicLight"/>
        </w:rPr>
        <w:t>aumento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290D0A">
        <w:rPr>
          <w:rFonts w:ascii="HendersonSansW00-BasicLight" w:hAnsi="HendersonSansW00-BasicLight"/>
        </w:rPr>
        <w:t>1,</w:t>
      </w:r>
      <w:r w:rsidR="001740F2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7BD190E6" w:rsidR="003B74C4" w:rsidRPr="00D157D9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75E644" w14:textId="766A6A3B" w:rsidR="00976942" w:rsidRPr="00AD6029" w:rsidRDefault="00A05AFA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6B7A5E47" wp14:editId="226DF02D">
            <wp:extent cx="2941320" cy="3219450"/>
            <wp:effectExtent l="0" t="0" r="11430" b="0"/>
            <wp:docPr id="17265159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5AA2C8D6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3E78A9">
        <w:rPr>
          <w:rFonts w:ascii="HendersonSansW00-BasicLight" w:hAnsi="HendersonSansW00-BasicLight"/>
        </w:rPr>
        <w:t>195</w:t>
      </w:r>
      <w:r w:rsidR="001977D0" w:rsidRPr="00AD6029">
        <w:rPr>
          <w:rFonts w:ascii="HendersonSansW00-BasicLight" w:hAnsi="HendersonSansW00-BasicLight"/>
        </w:rPr>
        <w:t>.</w:t>
      </w:r>
      <w:r w:rsidR="003E78A9">
        <w:rPr>
          <w:rFonts w:ascii="HendersonSansW00-BasicLight" w:hAnsi="HendersonSansW00-BasicLight"/>
        </w:rPr>
        <w:t>513</w:t>
      </w:r>
      <w:r w:rsidR="001977D0" w:rsidRPr="00AD6029">
        <w:rPr>
          <w:rFonts w:ascii="HendersonSansW00-BasicLight" w:hAnsi="HendersonSansW00-BasicLight"/>
        </w:rPr>
        <w:t>,</w:t>
      </w:r>
      <w:r w:rsidR="003E78A9">
        <w:rPr>
          <w:rFonts w:ascii="HendersonSansW00-BasicLight" w:hAnsi="HendersonSansW00-BasicLight"/>
        </w:rPr>
        <w:t>7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</w:t>
      </w:r>
      <w:r w:rsidR="00A54935" w:rsidRPr="00AD6029">
        <w:rPr>
          <w:rFonts w:ascii="HendersonSansW00-BasicLight" w:hAnsi="HendersonSansW00-BasicLight"/>
        </w:rPr>
        <w:lastRenderedPageBreak/>
        <w:t>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FA7090">
        <w:rPr>
          <w:rFonts w:ascii="HendersonSansW00-BasicLight" w:hAnsi="HendersonSansW00-BasicLight" w:cs="Arial"/>
          <w:lang w:val="es-ES"/>
        </w:rPr>
        <w:t>1</w:t>
      </w:r>
      <w:r w:rsidR="0048078F">
        <w:rPr>
          <w:rFonts w:ascii="HendersonSansW00-BasicLight" w:hAnsi="HendersonSansW00-BasicLight" w:cs="Arial"/>
          <w:lang w:val="es-ES"/>
        </w:rPr>
        <w:t>20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48078F">
        <w:rPr>
          <w:rFonts w:ascii="HendersonSansW00-BasicLight" w:hAnsi="HendersonSansW00-BasicLight" w:cs="Arial"/>
          <w:lang w:val="es-ES"/>
        </w:rPr>
        <w:t>092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48078F">
        <w:rPr>
          <w:rFonts w:ascii="HendersonSansW00-BasicLight" w:hAnsi="HendersonSansW00-BasicLight" w:cs="Arial"/>
          <w:lang w:val="es-ES"/>
        </w:rPr>
        <w:t>3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1123D0">
        <w:rPr>
          <w:rFonts w:ascii="HendersonSansW00-BasicLight" w:hAnsi="HendersonSansW00-BasicLight" w:cs="Arial"/>
          <w:lang w:val="es-ES"/>
        </w:rPr>
        <w:t>7</w:t>
      </w:r>
      <w:r w:rsidR="0048078F">
        <w:rPr>
          <w:rFonts w:ascii="HendersonSansW00-BasicLight" w:hAnsi="HendersonSansW00-BasicLight" w:cs="Arial"/>
          <w:lang w:val="es-ES"/>
        </w:rPr>
        <w:t>5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48078F">
        <w:rPr>
          <w:rFonts w:ascii="HendersonSansW00-BasicLight" w:hAnsi="HendersonSansW00-BasicLight" w:cs="Arial"/>
          <w:lang w:val="es-ES"/>
        </w:rPr>
        <w:t>421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48078F">
        <w:rPr>
          <w:rFonts w:ascii="HendersonSansW00-BasicLight" w:hAnsi="HendersonSansW00-BasicLight" w:cs="Arial"/>
          <w:lang w:val="es-ES"/>
        </w:rPr>
        <w:t xml:space="preserve">5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01A4FD60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881F43">
        <w:rPr>
          <w:rFonts w:ascii="HendersonSansW00-BasicLight" w:hAnsi="HendersonSansW00-BasicLight"/>
        </w:rPr>
        <w:t>agosto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D92BAB">
        <w:rPr>
          <w:rFonts w:ascii="HendersonSansW00-BasicLight" w:hAnsi="HendersonSansW00-BasicLight"/>
        </w:rPr>
        <w:t>a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D92BAB">
        <w:rPr>
          <w:rFonts w:ascii="HendersonSansW00-BasicLight" w:hAnsi="HendersonSansW00-BasicLight"/>
        </w:rPr>
        <w:t>caída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1123D0">
        <w:rPr>
          <w:rFonts w:ascii="HendersonSansW00-BasicLight" w:hAnsi="HendersonSansW00-BasicLight"/>
        </w:rPr>
        <w:t>1</w:t>
      </w:r>
      <w:r w:rsidR="00B96C1B">
        <w:rPr>
          <w:rFonts w:ascii="HendersonSansW00-BasicLight" w:hAnsi="HendersonSansW00-BasicLight"/>
        </w:rPr>
        <w:t>.</w:t>
      </w:r>
      <w:r w:rsidR="00795283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63EE5F2E" w14:textId="2909DB79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40DB35F5" w:rsidR="00BD715C" w:rsidRPr="00D157D9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74CB277" w14:textId="0D024E06" w:rsidR="00CD5932" w:rsidRPr="00AD6029" w:rsidRDefault="00EF4A5D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C77EA1D" wp14:editId="6DA99845">
            <wp:extent cx="3352800" cy="3486150"/>
            <wp:effectExtent l="0" t="0" r="0" b="0"/>
            <wp:docPr id="8932297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794B44" w14:textId="70AB8CF9" w:rsidR="008F659D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73EC4CEC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881F43">
        <w:rPr>
          <w:rFonts w:ascii="HendersonSansW00-BasicLight" w:hAnsi="HendersonSansW00-BasicLight"/>
        </w:rPr>
        <w:t>agosto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BA1BBB">
        <w:rPr>
          <w:rFonts w:ascii="HendersonSansW00-BasicLight" w:hAnsi="HendersonSansW00-BasicLight"/>
        </w:rPr>
        <w:t>5</w:t>
      </w:r>
      <w:r w:rsidR="00FF1759">
        <w:rPr>
          <w:rFonts w:ascii="HendersonSansW00-BasicLight" w:hAnsi="HendersonSansW00-BasicLight"/>
        </w:rPr>
        <w:t>.</w:t>
      </w:r>
      <w:r w:rsidR="00C00BB5">
        <w:rPr>
          <w:rFonts w:ascii="HendersonSansW00-BasicLight" w:hAnsi="HendersonSansW00-BasicLight"/>
        </w:rPr>
        <w:t>905</w:t>
      </w:r>
      <w:r w:rsidR="00C3039A">
        <w:rPr>
          <w:rFonts w:ascii="HendersonSansW00-BasicLight" w:hAnsi="HendersonSansW00-BasicLight"/>
        </w:rPr>
        <w:t>.</w:t>
      </w:r>
      <w:r w:rsidR="00C00BB5">
        <w:rPr>
          <w:rFonts w:ascii="HendersonSansW00-BasicLight" w:hAnsi="HendersonSansW00-BasicLight"/>
        </w:rPr>
        <w:t>176</w:t>
      </w:r>
      <w:r w:rsidR="00C3039A">
        <w:rPr>
          <w:rFonts w:ascii="HendersonSansW00-BasicLight" w:hAnsi="HendersonSansW00-BasicLight"/>
        </w:rPr>
        <w:t>,</w:t>
      </w:r>
      <w:r w:rsidR="004F7194">
        <w:rPr>
          <w:rFonts w:ascii="HendersonSansW00-BasicLight" w:hAnsi="HendersonSansW00-BasicLight"/>
        </w:rPr>
        <w:t>4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A41FD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A1BBB">
        <w:rPr>
          <w:rFonts w:ascii="HendersonSansW00-BasicLight" w:hAnsi="HendersonSansW00-BasicLight"/>
        </w:rPr>
        <w:t>2</w:t>
      </w:r>
      <w:r w:rsidR="007D7E48">
        <w:rPr>
          <w:rFonts w:ascii="HendersonSansW00-BasicLight" w:hAnsi="HendersonSansW00-BasicLight"/>
        </w:rPr>
        <w:t>,</w:t>
      </w:r>
      <w:r w:rsidR="00C00BB5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881F43">
        <w:rPr>
          <w:rFonts w:ascii="HendersonSansW00-BasicLight" w:hAnsi="HendersonSansW00-BasicLight"/>
        </w:rPr>
        <w:t>agosto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50F7B965" w14:textId="4CF4F3CC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5ACD6EC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42BD2D7B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2BD341DC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51BEDA35" w:rsidR="001A1E1B" w:rsidRPr="00D157D9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7620EB9F" w:rsidR="005A00D3" w:rsidRPr="00AD6029" w:rsidRDefault="00705271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7FC3AE8" wp14:editId="771A1C22">
            <wp:extent cx="2941320" cy="3060700"/>
            <wp:effectExtent l="0" t="0" r="11430" b="6350"/>
            <wp:docPr id="19551270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564C3E" w14:textId="7B4582A2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881F43">
        <w:rPr>
          <w:rFonts w:ascii="HendersonSansW00-BasicLight" w:hAnsi="HendersonSansW00-BasicLight" w:cs="Arial"/>
        </w:rPr>
        <w:t>agosto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CE7806">
        <w:rPr>
          <w:rFonts w:ascii="HendersonSansW00-BasicLight" w:hAnsi="HendersonSansW00-BasicLight" w:cs="Arial"/>
        </w:rPr>
        <w:t>1</w:t>
      </w:r>
      <w:r w:rsidR="005A00D3" w:rsidRPr="00AD6029">
        <w:rPr>
          <w:rFonts w:ascii="HendersonSansW00-BasicLight" w:hAnsi="HendersonSansW00-BasicLight" w:cs="Arial"/>
        </w:rPr>
        <w:t>,</w:t>
      </w:r>
      <w:r w:rsidR="00CE7806">
        <w:rPr>
          <w:rFonts w:ascii="HendersonSansW00-BasicLight" w:hAnsi="HendersonSansW00-BasicLight" w:cs="Arial"/>
        </w:rPr>
        <w:t>1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D37C3D">
        <w:rPr>
          <w:rFonts w:ascii="HendersonSansW00-BasicLight" w:hAnsi="HendersonSansW00-BasicLight" w:cs="Arial"/>
        </w:rPr>
        <w:t>2</w:t>
      </w:r>
      <w:r w:rsidR="005A00D3" w:rsidRPr="00AD6029">
        <w:rPr>
          <w:rFonts w:ascii="HendersonSansW00-BasicLight" w:hAnsi="HendersonSansW00-BasicLight" w:cs="Arial"/>
        </w:rPr>
        <w:t>,</w:t>
      </w:r>
      <w:r w:rsidR="003540D1">
        <w:rPr>
          <w:rFonts w:ascii="HendersonSansW00-BasicLight" w:hAnsi="HendersonSansW00-BasicLight" w:cs="Arial"/>
        </w:rPr>
        <w:t>0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5119F6">
        <w:rPr>
          <w:rFonts w:ascii="HendersonSansW00-BasicLight" w:hAnsi="HendersonSansW00-BasicLight" w:cs="Arial"/>
        </w:rPr>
        <w:t>6</w:t>
      </w:r>
      <w:r w:rsidR="00FC374C" w:rsidRPr="00AD6029">
        <w:rPr>
          <w:rFonts w:ascii="HendersonSansW00-BasicLight" w:hAnsi="HendersonSansW00-BasicLight" w:cs="Arial"/>
        </w:rPr>
        <w:t>,</w:t>
      </w:r>
      <w:r w:rsidR="005119F6">
        <w:rPr>
          <w:rFonts w:ascii="HendersonSansW00-BasicLight" w:hAnsi="HendersonSansW00-BasicLight" w:cs="Arial"/>
        </w:rPr>
        <w:t>4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F56033">
        <w:rPr>
          <w:rFonts w:ascii="HendersonSansW00-BasicLight" w:hAnsi="HendersonSansW00-BasicLight" w:cs="Arial"/>
        </w:rPr>
        <w:t xml:space="preserve"> </w:t>
      </w:r>
      <w:r w:rsidR="00D37C3D">
        <w:rPr>
          <w:rFonts w:ascii="HendersonSansW00-BasicLight" w:hAnsi="HendersonSansW00-BasicLight" w:cs="Arial"/>
        </w:rPr>
        <w:t>4</w:t>
      </w:r>
      <w:r w:rsidR="005A00D3" w:rsidRPr="00AD6029">
        <w:rPr>
          <w:rFonts w:ascii="HendersonSansW00-BasicLight" w:hAnsi="HendersonSansW00-BasicLight" w:cs="Arial"/>
        </w:rPr>
        <w:t>,</w:t>
      </w:r>
      <w:r w:rsidR="005119F6">
        <w:rPr>
          <w:rFonts w:ascii="HendersonSansW00-BasicLight" w:hAnsi="HendersonSansW00-BasicLight" w:cs="Arial"/>
        </w:rPr>
        <w:t>3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261C3E">
        <w:rPr>
          <w:rFonts w:ascii="HendersonSansW00-BasicLight" w:hAnsi="HendersonSansW00-BasicLight" w:cs="Arial"/>
        </w:rPr>
        <w:t>3</w:t>
      </w:r>
      <w:r w:rsidR="007A7683" w:rsidRPr="00AD6029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>1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2</w:t>
      </w:r>
      <w:r w:rsidR="00BD5461" w:rsidRPr="00AD6029">
        <w:rPr>
          <w:rFonts w:ascii="HendersonSansW00-BasicLight" w:hAnsi="HendersonSansW00-BasicLight"/>
        </w:rPr>
        <w:t>,</w:t>
      </w:r>
      <w:r w:rsidR="00F56033">
        <w:rPr>
          <w:rFonts w:ascii="HendersonSansW00-BasicLight" w:hAnsi="HendersonSansW00-BasicLight"/>
        </w:rPr>
        <w:t>4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F56033">
        <w:rPr>
          <w:rFonts w:ascii="HendersonSansW00-BasicLight" w:hAnsi="HendersonSansW00-BasicLight"/>
        </w:rPr>
        <w:t>6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268B9AE5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4527B20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D3E0EE9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C7523A4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2B37112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AB3E38E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81EF510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E5A3AF1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35C4265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D7DE870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248BF46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216394D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8446183" w14:textId="77777777" w:rsidR="0075368B" w:rsidRDefault="0075368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01D3B77" w14:textId="117A9F77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2843C14F" w:rsidR="00837EB6" w:rsidRPr="00D157D9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67740C4A" w:rsidR="005A00D3" w:rsidRPr="00AD6029" w:rsidRDefault="007E5E99" w:rsidP="003E38F7">
      <w:pPr>
        <w:pStyle w:val="Sinespaciado"/>
        <w:jc w:val="center"/>
        <w:rPr>
          <w:rFonts w:ascii="HendersonSansW00-BasicLight" w:hAnsi="HendersonSansW00-BasicLight"/>
        </w:rPr>
      </w:pPr>
      <w:r w:rsidRPr="00FC5FBF">
        <w:rPr>
          <w:rFonts w:ascii="HendersonSansW00-BasicLight" w:hAnsi="HendersonSansW00-BasicLight"/>
          <w:noProof/>
          <w:sz w:val="14"/>
          <w:szCs w:val="14"/>
        </w:rPr>
        <w:drawing>
          <wp:inline distT="0" distB="0" distL="0" distR="0" wp14:anchorId="6A0873C2" wp14:editId="3B1CC217">
            <wp:extent cx="3314700" cy="4146550"/>
            <wp:effectExtent l="0" t="0" r="0" b="6350"/>
            <wp:docPr id="18112977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13135F" w14:textId="7FCA96EF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728021CD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881F43">
        <w:rPr>
          <w:rFonts w:ascii="HendersonSansW00-BasicLight" w:hAnsi="HendersonSansW00-BasicLight"/>
        </w:rPr>
        <w:t>agosto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3C4E25">
        <w:rPr>
          <w:rFonts w:ascii="HendersonSansW00-BasicLight" w:hAnsi="HendersonSansW00-BasicLight"/>
        </w:rPr>
        <w:t>2</w:t>
      </w:r>
      <w:r w:rsidR="00814D55">
        <w:rPr>
          <w:rFonts w:ascii="HendersonSansW00-BasicLight" w:hAnsi="HendersonSansW00-BasicLight"/>
        </w:rPr>
        <w:t>0</w:t>
      </w:r>
      <w:r w:rsidR="006C002F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>.</w:t>
      </w:r>
      <w:r w:rsidR="00934D87">
        <w:rPr>
          <w:rFonts w:ascii="HendersonSansW00-BasicLight" w:hAnsi="HendersonSansW00-BasicLight"/>
        </w:rPr>
        <w:t>589</w:t>
      </w:r>
      <w:r w:rsidR="006B2740" w:rsidRPr="00AD6029">
        <w:rPr>
          <w:rFonts w:ascii="HendersonSansW00-BasicLight" w:hAnsi="HendersonSansW00-BasicLight"/>
        </w:rPr>
        <w:t>,</w:t>
      </w:r>
      <w:r w:rsidR="00934D87">
        <w:rPr>
          <w:rFonts w:ascii="HendersonSansW00-BasicLight" w:hAnsi="HendersonSansW00-BasicLight"/>
        </w:rPr>
        <w:t>8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934D87">
        <w:rPr>
          <w:rFonts w:ascii="HendersonSansW00-BasicLight" w:hAnsi="HendersonSansW00-BasicLight"/>
        </w:rPr>
        <w:t xml:space="preserve">aumento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934D87">
        <w:rPr>
          <w:rFonts w:ascii="HendersonSansW00-BasicLight" w:hAnsi="HendersonSansW00-BasicLight"/>
        </w:rPr>
        <w:t>4</w:t>
      </w:r>
      <w:r w:rsidR="00767B41">
        <w:rPr>
          <w:rFonts w:ascii="HendersonSansW00-BasicLight" w:hAnsi="HendersonSansW00-BasicLight"/>
        </w:rPr>
        <w:t>,</w:t>
      </w:r>
      <w:r w:rsidR="00934D87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% con respecto a </w:t>
      </w:r>
      <w:r w:rsidR="00881F43">
        <w:rPr>
          <w:rFonts w:ascii="HendersonSansW00-BasicLight" w:hAnsi="HendersonSansW00-BasicLight"/>
        </w:rPr>
        <w:t>agosto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432AFF93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881F43">
        <w:rPr>
          <w:rFonts w:ascii="HendersonSansW00-BasicLight" w:hAnsi="HendersonSansW00-BasicLight"/>
        </w:rPr>
        <w:t>agosto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C9756E">
        <w:rPr>
          <w:rFonts w:ascii="HendersonSansW00-BasicLight" w:hAnsi="HendersonSansW00-BasicLight"/>
        </w:rPr>
        <w:t>6</w:t>
      </w:r>
      <w:r w:rsidR="00D033ED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>.</w:t>
      </w:r>
      <w:r w:rsidR="00595FDC">
        <w:rPr>
          <w:rFonts w:ascii="HendersonSansW00-BasicLight" w:hAnsi="HendersonSansW00-BasicLight"/>
        </w:rPr>
        <w:t>74</w:t>
      </w:r>
      <w:r w:rsidR="00BA38D8">
        <w:rPr>
          <w:rFonts w:ascii="HendersonSansW00-BasicLight" w:hAnsi="HendersonSansW00-BasicLight"/>
        </w:rPr>
        <w:t>3</w:t>
      </w:r>
      <w:r w:rsidR="007F03A6">
        <w:rPr>
          <w:rFonts w:ascii="HendersonSansW00-BasicLight" w:hAnsi="HendersonSansW00-BasicLight"/>
        </w:rPr>
        <w:t>,5</w:t>
      </w:r>
      <w:r w:rsidR="000B5EB4" w:rsidRPr="00AD6029">
        <w:rPr>
          <w:rFonts w:ascii="HendersonSansW00-BasicLight" w:hAnsi="HendersonSansW00-BasicLight"/>
        </w:rPr>
        <w:t xml:space="preserve"> millones por concepto de salario escolar, siendo un </w:t>
      </w:r>
      <w:r w:rsidR="002C41A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>.</w:t>
      </w:r>
      <w:r w:rsidR="004425D3">
        <w:rPr>
          <w:rFonts w:ascii="HendersonSansW00-BasicLight" w:hAnsi="HendersonSansW00-BasicLight"/>
        </w:rPr>
        <w:t>104</w:t>
      </w:r>
      <w:r w:rsidR="000B5EB4" w:rsidRPr="00AD6029">
        <w:rPr>
          <w:rFonts w:ascii="HendersonSansW00-BasicLight" w:hAnsi="HendersonSansW00-BasicLight"/>
        </w:rPr>
        <w:t>,</w:t>
      </w:r>
      <w:r w:rsidR="004425D3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5E7978">
        <w:rPr>
          <w:rFonts w:ascii="HendersonSansW00-BasicLight" w:hAnsi="HendersonSansW00-BasicLight"/>
        </w:rPr>
        <w:t>1</w:t>
      </w:r>
      <w:r w:rsidR="002B58AE">
        <w:rPr>
          <w:rFonts w:ascii="HendersonSansW00-BasicLight" w:hAnsi="HendersonSansW00-BasicLight"/>
        </w:rPr>
        <w:t>97.087</w:t>
      </w:r>
      <w:r w:rsidR="00B374D8">
        <w:rPr>
          <w:rFonts w:ascii="HendersonSansW00-BasicLight" w:hAnsi="HendersonSansW00-BasicLight"/>
        </w:rPr>
        <w:t>,</w:t>
      </w:r>
      <w:r w:rsidR="000B3879">
        <w:rPr>
          <w:rFonts w:ascii="HendersonSansW00-BasicLight" w:hAnsi="HendersonSansW00-BasicLight"/>
        </w:rPr>
        <w:t>2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0549E2">
        <w:rPr>
          <w:rFonts w:ascii="HendersonSansW00-BasicLight" w:hAnsi="HendersonSansW00-BasicLight"/>
        </w:rPr>
        <w:t>2</w:t>
      </w:r>
      <w:r w:rsidR="000B5EB4" w:rsidRPr="00AD6029">
        <w:rPr>
          <w:rFonts w:ascii="HendersonSansW00-BasicLight" w:hAnsi="HendersonSansW00-BasicLight"/>
        </w:rPr>
        <w:t>,</w:t>
      </w:r>
      <w:r w:rsidR="002B58AE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881F43">
        <w:rPr>
          <w:rFonts w:ascii="HendersonSansW00-BasicLight" w:hAnsi="HendersonSansW00-BasicLight"/>
        </w:rPr>
        <w:t>agosto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346CAE0B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20860E9A" w:rsidR="00B21525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2D800A9" w14:textId="62EF5357" w:rsidR="009E5395" w:rsidRPr="00AD6029" w:rsidRDefault="00A33809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125D23A0" wp14:editId="1167C85D">
            <wp:extent cx="2941320" cy="3270250"/>
            <wp:effectExtent l="0" t="0" r="11430" b="6350"/>
            <wp:docPr id="425217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1FD167DA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BD4180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2E6174">
        <w:rPr>
          <w:rFonts w:ascii="HendersonSansW00-BasicLight" w:hAnsi="HendersonSansW00-BasicLight"/>
        </w:rPr>
        <w:t>1.054</w:t>
      </w:r>
      <w:r w:rsidR="002B1B61">
        <w:rPr>
          <w:rFonts w:ascii="HendersonSansW00-BasicLight" w:hAnsi="HendersonSansW00-BasicLight"/>
        </w:rPr>
        <w:t>.</w:t>
      </w:r>
      <w:r w:rsidR="002E6174">
        <w:rPr>
          <w:rFonts w:ascii="HendersonSansW00-BasicLight" w:hAnsi="HendersonSansW00-BasicLight"/>
        </w:rPr>
        <w:t>094</w:t>
      </w:r>
      <w:r w:rsidR="00E40267" w:rsidRPr="00AD6029">
        <w:rPr>
          <w:rFonts w:ascii="HendersonSansW00-BasicLight" w:hAnsi="HendersonSansW00-BasicLight"/>
        </w:rPr>
        <w:t>,</w:t>
      </w:r>
      <w:r w:rsidR="002E6174">
        <w:rPr>
          <w:rFonts w:ascii="HendersonSansW00-BasicLight" w:hAnsi="HendersonSansW00-BasicLight"/>
        </w:rPr>
        <w:t>3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2E6174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al Poder Judicial (¢</w:t>
      </w:r>
      <w:r w:rsidR="000F6579">
        <w:rPr>
          <w:rFonts w:ascii="HendersonSansW00-BasicLight" w:hAnsi="HendersonSansW00-BasicLight"/>
        </w:rPr>
        <w:t>2</w:t>
      </w:r>
      <w:r w:rsidR="000C0002">
        <w:rPr>
          <w:rFonts w:ascii="HendersonSansW00-BasicLight" w:hAnsi="HendersonSansW00-BasicLight"/>
        </w:rPr>
        <w:t>71</w:t>
      </w:r>
      <w:r w:rsidR="00DE5454">
        <w:rPr>
          <w:rFonts w:ascii="HendersonSansW00-BasicLight" w:hAnsi="HendersonSansW00-BasicLight"/>
        </w:rPr>
        <w:t>.</w:t>
      </w:r>
      <w:r w:rsidR="000C0002">
        <w:rPr>
          <w:rFonts w:ascii="HendersonSansW00-BasicLight" w:hAnsi="HendersonSansW00-BasicLight"/>
        </w:rPr>
        <w:t>413</w:t>
      </w:r>
      <w:r w:rsidR="002E4878" w:rsidRPr="00AD6029">
        <w:rPr>
          <w:rFonts w:ascii="HendersonSansW00-BasicLight" w:hAnsi="HendersonSansW00-BasicLight"/>
        </w:rPr>
        <w:t>,</w:t>
      </w:r>
      <w:r w:rsidR="000C000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0C0002">
        <w:rPr>
          <w:rFonts w:ascii="HendersonSansW00-BasicLight" w:hAnsi="HendersonSansW00-BasicLight"/>
        </w:rPr>
        <w:t>3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320F79">
        <w:rPr>
          <w:rFonts w:ascii="HendersonSansW00-BasicLight" w:hAnsi="HendersonSansW00-BasicLight"/>
        </w:rPr>
        <w:t>1</w:t>
      </w:r>
      <w:r w:rsidR="00FE744D">
        <w:rPr>
          <w:rFonts w:ascii="HendersonSansW00-BasicLight" w:hAnsi="HendersonSansW00-BasicLight"/>
        </w:rPr>
        <w:t>52</w:t>
      </w:r>
      <w:r w:rsidR="00320F79">
        <w:rPr>
          <w:rFonts w:ascii="HendersonSansW00-BasicLight" w:hAnsi="HendersonSansW00-BasicLight"/>
        </w:rPr>
        <w:t>.</w:t>
      </w:r>
      <w:r w:rsidR="00FE744D">
        <w:rPr>
          <w:rFonts w:ascii="HendersonSansW00-BasicLight" w:hAnsi="HendersonSansW00-BasicLight"/>
        </w:rPr>
        <w:t>639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FE744D">
        <w:rPr>
          <w:rFonts w:ascii="HendersonSansW00-BasicLight" w:hAnsi="HendersonSansW00-BasicLight"/>
        </w:rPr>
        <w:t>76</w:t>
      </w:r>
      <w:r w:rsidR="00FC0406">
        <w:rPr>
          <w:rFonts w:ascii="HendersonSansW00-BasicLight" w:hAnsi="HendersonSansW00-BasicLight"/>
        </w:rPr>
        <w:t>.</w:t>
      </w:r>
      <w:r w:rsidR="00FE744D">
        <w:rPr>
          <w:rFonts w:ascii="HendersonSansW00-BasicLight" w:hAnsi="HendersonSansW00-BasicLight"/>
        </w:rPr>
        <w:t>489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6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FC040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EE101D">
        <w:rPr>
          <w:rFonts w:ascii="HendersonSansW00-BasicLight" w:hAnsi="HendersonSansW00-BasicLight"/>
        </w:rPr>
        <w:t>50</w:t>
      </w:r>
      <w:r w:rsidR="00787A17" w:rsidRPr="00AD6029">
        <w:rPr>
          <w:rFonts w:ascii="HendersonSansW00-BasicLight" w:hAnsi="HendersonSansW00-BasicLight"/>
        </w:rPr>
        <w:t>.</w:t>
      </w:r>
      <w:r w:rsidR="00EE101D">
        <w:rPr>
          <w:rFonts w:ascii="HendersonSansW00-BasicLight" w:hAnsi="HendersonSansW00-BasicLight"/>
        </w:rPr>
        <w:t>762</w:t>
      </w:r>
      <w:r w:rsidR="00E40267" w:rsidRPr="00AD6029">
        <w:rPr>
          <w:rFonts w:ascii="HendersonSansW00-BasicLight" w:hAnsi="HendersonSansW00-BasicLight"/>
        </w:rPr>
        <w:t>,</w:t>
      </w:r>
      <w:r w:rsidR="00EE101D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C51B2F">
        <w:rPr>
          <w:rFonts w:ascii="HendersonSansW00-BasicLight" w:hAnsi="HendersonSansW00-BasicLight"/>
        </w:rPr>
        <w:t>7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8572CE">
        <w:rPr>
          <w:rFonts w:ascii="HendersonSansW00-BasicLight" w:hAnsi="HendersonSansW00-BasicLight"/>
        </w:rPr>
        <w:t>2</w:t>
      </w:r>
      <w:r w:rsidR="00EE101D">
        <w:rPr>
          <w:rFonts w:ascii="HendersonSansW00-BasicLight" w:hAnsi="HendersonSansW00-BasicLight"/>
        </w:rPr>
        <w:t>33</w:t>
      </w:r>
      <w:r w:rsidR="000A0DAF">
        <w:rPr>
          <w:rFonts w:ascii="HendersonSansW00-BasicLight" w:hAnsi="HendersonSansW00-BasicLight"/>
        </w:rPr>
        <w:t>.</w:t>
      </w:r>
      <w:r w:rsidR="00C57B9D">
        <w:rPr>
          <w:rFonts w:ascii="HendersonSansW00-BasicLight" w:hAnsi="HendersonSansW00-BasicLight"/>
        </w:rPr>
        <w:t>572</w:t>
      </w:r>
      <w:r w:rsidR="00EB1230" w:rsidRPr="00AD6029">
        <w:rPr>
          <w:rFonts w:ascii="HendersonSansW00-BasicLight" w:hAnsi="HendersonSansW00-BasicLight"/>
        </w:rPr>
        <w:t>,</w:t>
      </w:r>
      <w:r w:rsidR="00C57B9D">
        <w:rPr>
          <w:rFonts w:ascii="HendersonSansW00-BasicLight" w:hAnsi="HendersonSansW00-BasicLight"/>
        </w:rPr>
        <w:t>3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0370FEC2" w14:textId="77777777" w:rsidR="0075368B" w:rsidRDefault="0075368B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FE26463" w14:textId="77777777" w:rsidR="0075368B" w:rsidRDefault="0075368B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291EAFE" w14:textId="77777777" w:rsidR="0075368B" w:rsidRDefault="0075368B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15B35DC" w14:textId="77777777" w:rsidR="0075368B" w:rsidRDefault="0075368B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26529F9" w14:textId="58AD09BB" w:rsidR="00B21525" w:rsidRPr="00FC5FBF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proofErr w:type="gramStart"/>
      <w:r w:rsidR="00881F43"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proofErr w:type="gramEnd"/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37248B11" w:rsidR="00EF10CB" w:rsidRPr="00AD6029" w:rsidRDefault="00BA3A74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0FF7CBD8" wp14:editId="10728AFD">
            <wp:extent cx="3000375" cy="2921000"/>
            <wp:effectExtent l="0" t="0" r="9525" b="12700"/>
            <wp:docPr id="19591273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69EEFC92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6F396D">
        <w:rPr>
          <w:rFonts w:ascii="HendersonSansW00-BasicLight" w:hAnsi="HendersonSansW00-BasicLight"/>
        </w:rPr>
        <w:t>40</w:t>
      </w:r>
      <w:r w:rsidR="00F77160" w:rsidRPr="00AD6029">
        <w:rPr>
          <w:rFonts w:ascii="HendersonSansW00-BasicLight" w:hAnsi="HendersonSansW00-BasicLight"/>
        </w:rPr>
        <w:t>,</w:t>
      </w:r>
      <w:r w:rsidR="006F396D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A112D2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024C52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024C52">
        <w:rPr>
          <w:rFonts w:ascii="HendersonSansW00-BasicLight" w:hAnsi="HendersonSansW00-BasicLight"/>
        </w:rPr>
        <w:t>0</w:t>
      </w:r>
      <w:r w:rsidR="00F77160" w:rsidRPr="00AD6029">
        <w:rPr>
          <w:rFonts w:ascii="HendersonSansW00-BasicLight" w:hAnsi="HendersonSansW00-BasicLight"/>
        </w:rPr>
        <w:t>,</w:t>
      </w:r>
      <w:r w:rsidR="00024C5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71F6E3E2" w:rsidR="00CF2889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29D5A0DB" w:rsidR="000C7C19" w:rsidRDefault="00325EC0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0388CD6D" wp14:editId="26243C0F">
            <wp:extent cx="2876550" cy="1860550"/>
            <wp:effectExtent l="0" t="0" r="0" b="6350"/>
            <wp:docPr id="10356715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7239C1F" w14:textId="4FF26E24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4413A2D9" w14:textId="45BE43AA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C41432">
        <w:rPr>
          <w:rFonts w:ascii="HendersonSansW00-BasicLight" w:hAnsi="HendersonSansW00-BasicLight"/>
        </w:rPr>
        <w:t>1</w:t>
      </w:r>
      <w:r w:rsidR="00E12467">
        <w:rPr>
          <w:rFonts w:ascii="HendersonSansW00-BasicLight" w:hAnsi="HendersonSansW00-BasicLight"/>
        </w:rPr>
        <w:t>,</w:t>
      </w:r>
      <w:r w:rsidR="00C41432">
        <w:rPr>
          <w:rFonts w:ascii="HendersonSansW00-BasicLight" w:hAnsi="HendersonSansW00-BasicLight"/>
        </w:rPr>
        <w:t>8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B76591">
        <w:rPr>
          <w:rFonts w:ascii="HendersonSansW00-BasicLight" w:hAnsi="HendersonSansW00-BasicLight"/>
        </w:rPr>
        <w:t>0</w:t>
      </w:r>
      <w:r w:rsidR="00BA5D53">
        <w:rPr>
          <w:rFonts w:ascii="HendersonSansW00-BasicLight" w:hAnsi="HendersonSansW00-BasicLight"/>
        </w:rPr>
        <w:t>.</w:t>
      </w:r>
      <w:r w:rsidR="00CE0C79">
        <w:rPr>
          <w:rFonts w:ascii="HendersonSansW00-BasicLight" w:hAnsi="HendersonSansW00-BasicLight"/>
        </w:rPr>
        <w:t>5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A65496">
        <w:rPr>
          <w:rFonts w:ascii="HendersonSansW00-BasicLight" w:hAnsi="HendersonSansW00-BasicLight"/>
        </w:rPr>
        <w:t>794</w:t>
      </w:r>
      <w:r w:rsidR="00AA3F95" w:rsidRPr="00AD6029">
        <w:rPr>
          <w:rFonts w:ascii="HendersonSansW00-BasicLight" w:hAnsi="HendersonSansW00-BasicLight"/>
        </w:rPr>
        <w:t>,</w:t>
      </w:r>
      <w:r w:rsidR="00AA4BF3">
        <w:rPr>
          <w:rFonts w:ascii="HendersonSansW00-BasicLight" w:hAnsi="HendersonSansW00-BasicLight"/>
        </w:rPr>
        <w:t>1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7B4A3C">
        <w:rPr>
          <w:rFonts w:ascii="HendersonSansW00-BasicLight" w:hAnsi="HendersonSansW00-BasicLight"/>
        </w:rPr>
        <w:t>2</w:t>
      </w:r>
      <w:r w:rsidR="00581895" w:rsidRPr="00AD6029">
        <w:rPr>
          <w:rFonts w:ascii="HendersonSansW00-BasicLight" w:hAnsi="HendersonSansW00-BasicLight"/>
        </w:rPr>
        <w:t>,</w:t>
      </w:r>
      <w:r w:rsidR="00607322">
        <w:rPr>
          <w:rFonts w:ascii="HendersonSansW00-BasicLight" w:hAnsi="HendersonSansW00-BasicLight"/>
        </w:rPr>
        <w:t>6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CE4BF1">
        <w:rPr>
          <w:rFonts w:ascii="HendersonSansW00-BasicLight" w:hAnsi="HendersonSansW00-BasicLight"/>
        </w:rPr>
        <w:t>4</w:t>
      </w:r>
      <w:r w:rsidR="008B0CB2">
        <w:rPr>
          <w:rFonts w:ascii="HendersonSansW00-BasicLight" w:hAnsi="HendersonSansW00-BasicLight"/>
        </w:rPr>
        <w:t>.</w:t>
      </w:r>
      <w:r w:rsidR="00CE4BF1">
        <w:rPr>
          <w:rFonts w:ascii="HendersonSansW00-BasicLight" w:hAnsi="HendersonSansW00-BasicLight"/>
        </w:rPr>
        <w:t>010</w:t>
      </w:r>
      <w:r w:rsidR="008B0CB2">
        <w:rPr>
          <w:rFonts w:ascii="HendersonSansW00-BasicLight" w:hAnsi="HendersonSansW00-BasicLight"/>
        </w:rPr>
        <w:t>,</w:t>
      </w:r>
      <w:r w:rsidR="00823F8B">
        <w:rPr>
          <w:rFonts w:ascii="HendersonSansW00-BasicLight" w:hAnsi="HendersonSansW00-BasicLight"/>
        </w:rPr>
        <w:t>2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09A8236A" w14:textId="77777777" w:rsidR="00C25BE8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77777777" w:rsidR="00C25BE8" w:rsidRPr="00FC5FBF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65F334B" w14:textId="0E45DA4B" w:rsidR="00C25BE8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3F6C7C" w14:textId="6297A47B" w:rsidR="007E0936" w:rsidRPr="00AD6029" w:rsidRDefault="009F75A7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E8DED4E" wp14:editId="62A0E3F3">
            <wp:extent cx="3133725" cy="4105275"/>
            <wp:effectExtent l="0" t="0" r="9525" b="9525"/>
            <wp:docPr id="7078952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5319947" w14:textId="12721CE4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9781B94" w14:textId="10FDE80D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B350EC">
        <w:rPr>
          <w:rFonts w:ascii="HendersonSansW00-BasicLight" w:hAnsi="HendersonSansW00-BasicLight"/>
        </w:rPr>
        <w:t xml:space="preserve"> seguros</w:t>
      </w:r>
      <w:r w:rsidR="00FD7508">
        <w:rPr>
          <w:rFonts w:ascii="HendersonSansW00-BasicLight" w:hAnsi="HendersonSansW00-BasicLight"/>
        </w:rPr>
        <w:t xml:space="preserve"> y 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6C7E8DCD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881F43"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proofErr w:type="gramEnd"/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1EF0C23B" w14:textId="52E06794" w:rsidR="006A4E8E" w:rsidRPr="00487D56" w:rsidRDefault="00B834D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5F26C3D" wp14:editId="41D0BE3E">
            <wp:extent cx="3067050" cy="4257675"/>
            <wp:effectExtent l="0" t="0" r="0" b="9525"/>
            <wp:docPr id="2102076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3E75883" w14:textId="4B6AB8BE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113B4746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457335">
        <w:rPr>
          <w:rFonts w:ascii="HendersonSansW00-BasicLight" w:hAnsi="HendersonSansW00-BasicLight"/>
        </w:rPr>
        <w:t>de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F5114B">
        <w:rPr>
          <w:rFonts w:ascii="HendersonSansW00-BasicLight" w:hAnsi="HendersonSansW00-BasicLight"/>
        </w:rPr>
        <w:t>7</w:t>
      </w:r>
      <w:r w:rsidR="00DB5619" w:rsidRPr="00AD6029">
        <w:rPr>
          <w:rFonts w:ascii="HendersonSansW00-BasicLight" w:hAnsi="HendersonSansW00-BasicLight"/>
        </w:rPr>
        <w:t>,</w:t>
      </w:r>
      <w:r w:rsidR="00F5114B">
        <w:rPr>
          <w:rFonts w:ascii="HendersonSansW00-BasicLight" w:hAnsi="HendersonSansW00-BasicLight"/>
        </w:rPr>
        <w:t>7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6719B7">
        <w:rPr>
          <w:rFonts w:ascii="HendersonSansW00-BasicLight" w:hAnsi="HendersonSansW00-BasicLight"/>
        </w:rPr>
        <w:t>291</w:t>
      </w:r>
      <w:r w:rsidR="00E604AF">
        <w:rPr>
          <w:rFonts w:ascii="HendersonSansW00-BasicLight" w:hAnsi="HendersonSansW00-BasicLight"/>
        </w:rPr>
        <w:t>.</w:t>
      </w:r>
      <w:r w:rsidR="006719B7">
        <w:rPr>
          <w:rFonts w:ascii="HendersonSansW00-BasicLight" w:hAnsi="HendersonSansW00-BasicLight"/>
        </w:rPr>
        <w:t>858</w:t>
      </w:r>
      <w:r w:rsidR="00E604AF">
        <w:rPr>
          <w:rFonts w:ascii="HendersonSansW00-BasicLight" w:hAnsi="HendersonSansW00-BasicLight"/>
        </w:rPr>
        <w:t>,</w:t>
      </w:r>
      <w:r w:rsidR="006719B7">
        <w:rPr>
          <w:rFonts w:ascii="HendersonSansW00-BasicLight" w:hAnsi="HendersonSansW00-BasicLight"/>
        </w:rPr>
        <w:t>2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881F43">
        <w:rPr>
          <w:rFonts w:ascii="HendersonSansW00-BasicLight" w:hAnsi="HendersonSansW00-BasicLight"/>
        </w:rPr>
        <w:t>agosto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6719B7">
        <w:rPr>
          <w:rFonts w:ascii="HendersonSansW00-BasicLight" w:hAnsi="HendersonSansW00-BasicLight"/>
        </w:rPr>
        <w:t>316</w:t>
      </w:r>
      <w:r w:rsidR="008B4D80">
        <w:rPr>
          <w:rFonts w:ascii="HendersonSansW00-BasicLight" w:hAnsi="HendersonSansW00-BasicLight"/>
        </w:rPr>
        <w:t>.</w:t>
      </w:r>
      <w:r w:rsidR="006719B7">
        <w:rPr>
          <w:rFonts w:ascii="HendersonSansW00-BasicLight" w:hAnsi="HendersonSansW00-BasicLight"/>
        </w:rPr>
        <w:t>306</w:t>
      </w:r>
      <w:r w:rsidR="00646C77" w:rsidRPr="00AD6029">
        <w:rPr>
          <w:rFonts w:ascii="HendersonSansW00-BasicLight" w:hAnsi="HendersonSansW00-BasicLight"/>
        </w:rPr>
        <w:t>,</w:t>
      </w:r>
      <w:r w:rsidR="000D0F41">
        <w:rPr>
          <w:rFonts w:ascii="HendersonSansW00-BasicLight" w:hAnsi="HendersonSansW00-BasicLight"/>
        </w:rPr>
        <w:t>5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9E7FE1">
        <w:rPr>
          <w:rFonts w:ascii="HendersonSansW00-BasicLight" w:hAnsi="HendersonSansW00-BasicLight"/>
        </w:rPr>
        <w:t xml:space="preserve">enos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3C8D1BEC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25387C94" w:rsidR="00CB326F" w:rsidRPr="00FC5FBF" w:rsidRDefault="00881F4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DB272C8" w14:textId="61938E71" w:rsidR="00B6045A" w:rsidRPr="00AD6029" w:rsidRDefault="00B97215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4CC5DB0" wp14:editId="38D41F6A">
            <wp:extent cx="2981325" cy="3371850"/>
            <wp:effectExtent l="0" t="0" r="9525" b="0"/>
            <wp:docPr id="339744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2BD476C" w14:textId="002E6D98" w:rsidR="005A559A" w:rsidRPr="00AD6029" w:rsidRDefault="00AB28C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881F43">
        <w:rPr>
          <w:rFonts w:ascii="HendersonSansW00-BasicLight" w:hAnsi="HendersonSansW00-BasicLight"/>
        </w:rPr>
        <w:t>agosto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4131AA">
        <w:rPr>
          <w:rFonts w:ascii="HendersonSansW00-BasicLight" w:hAnsi="HendersonSansW00-BasicLight"/>
        </w:rPr>
        <w:t>34</w:t>
      </w:r>
      <w:r w:rsidR="00C9269D" w:rsidRPr="00AD6029">
        <w:rPr>
          <w:rFonts w:ascii="HendersonSansW00-BasicLight" w:hAnsi="HendersonSansW00-BasicLight"/>
        </w:rPr>
        <w:t>.</w:t>
      </w:r>
      <w:r w:rsidR="004131AA">
        <w:rPr>
          <w:rFonts w:ascii="HendersonSansW00-BasicLight" w:hAnsi="HendersonSansW00-BasicLight"/>
        </w:rPr>
        <w:t>442</w:t>
      </w:r>
      <w:r w:rsidR="000018A9" w:rsidRPr="00AD6029">
        <w:rPr>
          <w:rFonts w:ascii="HendersonSansW00-BasicLight" w:hAnsi="HendersonSansW00-BasicLight"/>
        </w:rPr>
        <w:t>,</w:t>
      </w:r>
      <w:r w:rsidR="004131AA">
        <w:rPr>
          <w:rFonts w:ascii="HendersonSansW00-BasicLight" w:hAnsi="HendersonSansW00-BasicLight"/>
        </w:rPr>
        <w:t>4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9B653C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7032B0">
        <w:rPr>
          <w:rFonts w:ascii="HendersonSansW00-BasicLight" w:hAnsi="HendersonSansW00-BasicLight"/>
        </w:rPr>
        <w:t>1</w:t>
      </w:r>
      <w:r w:rsidR="004131AA">
        <w:rPr>
          <w:rFonts w:ascii="HendersonSansW00-BasicLight" w:hAnsi="HendersonSansW00-BasicLight"/>
        </w:rPr>
        <w:t>3</w:t>
      </w:r>
      <w:r w:rsidR="00BD670E" w:rsidRPr="00AD6029">
        <w:rPr>
          <w:rFonts w:ascii="HendersonSansW00-BasicLight" w:hAnsi="HendersonSansW00-BasicLight"/>
        </w:rPr>
        <w:t>,</w:t>
      </w:r>
      <w:r w:rsidR="004131AA">
        <w:rPr>
          <w:rFonts w:ascii="HendersonSansW00-BasicLight" w:hAnsi="HendersonSansW00-BasicLight"/>
        </w:rPr>
        <w:t>3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D550F0">
        <w:rPr>
          <w:rFonts w:ascii="HendersonSansW00-BasicLight" w:hAnsi="HendersonSansW00-BasicLight"/>
        </w:rPr>
        <w:t>1</w:t>
      </w:r>
      <w:r w:rsidR="004131AA">
        <w:rPr>
          <w:rFonts w:ascii="HendersonSansW00-BasicLight" w:hAnsi="HendersonSansW00-BasicLight"/>
        </w:rPr>
        <w:t>57</w:t>
      </w:r>
      <w:r w:rsidR="007E5EAB">
        <w:rPr>
          <w:rFonts w:ascii="HendersonSansW00-BasicLight" w:hAnsi="HendersonSansW00-BasicLight"/>
        </w:rPr>
        <w:t>.</w:t>
      </w:r>
      <w:r w:rsidR="004131AA">
        <w:rPr>
          <w:rFonts w:ascii="HendersonSansW00-BasicLight" w:hAnsi="HendersonSansW00-BasicLight"/>
        </w:rPr>
        <w:t>816</w:t>
      </w:r>
      <w:r w:rsidR="009442E7" w:rsidRPr="00D25C19">
        <w:rPr>
          <w:rFonts w:ascii="HendersonSansW00-BasicLight" w:hAnsi="HendersonSansW00-BasicLight"/>
        </w:rPr>
        <w:t>,</w:t>
      </w:r>
      <w:r w:rsidR="004131AA">
        <w:rPr>
          <w:rFonts w:ascii="HendersonSansW00-BasicLight" w:hAnsi="HendersonSansW00-BasicLight"/>
        </w:rPr>
        <w:t>5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D550F0">
        <w:rPr>
          <w:rFonts w:ascii="HendersonSansW00-BasicLight" w:hAnsi="HendersonSansW00-BasicLight"/>
        </w:rPr>
        <w:t>7</w:t>
      </w:r>
      <w:r w:rsidR="004131AA">
        <w:rPr>
          <w:rFonts w:ascii="HendersonSansW00-BasicLight" w:hAnsi="HendersonSansW00-BasicLight"/>
        </w:rPr>
        <w:t>6</w:t>
      </w:r>
      <w:r w:rsidR="00D25C19" w:rsidRPr="00D84073">
        <w:rPr>
          <w:rFonts w:ascii="HendersonSansW00-BasicLight" w:hAnsi="HendersonSansW00-BasicLight"/>
        </w:rPr>
        <w:t>.</w:t>
      </w:r>
      <w:r w:rsidR="004131AA">
        <w:rPr>
          <w:rFonts w:ascii="HendersonSansW00-BasicLight" w:hAnsi="HendersonSansW00-BasicLight"/>
        </w:rPr>
        <w:t>388</w:t>
      </w:r>
      <w:r w:rsidR="00D25C19" w:rsidRPr="00D25C19">
        <w:rPr>
          <w:rFonts w:ascii="HendersonSansW00-BasicLight" w:hAnsi="HendersonSansW00-BasicLight"/>
        </w:rPr>
        <w:t>,</w:t>
      </w:r>
      <w:r w:rsidR="004131AA">
        <w:rPr>
          <w:rFonts w:ascii="HendersonSansW00-BasicLight" w:hAnsi="HendersonSansW00-BasicLight"/>
        </w:rPr>
        <w:t>5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324454">
        <w:rPr>
          <w:rFonts w:ascii="HendersonSansW00-BasicLight" w:hAnsi="HendersonSansW00-BasicLight"/>
        </w:rPr>
        <w:t>2</w:t>
      </w:r>
      <w:r w:rsidR="004131AA">
        <w:rPr>
          <w:rFonts w:ascii="HendersonSansW00-BasicLight" w:hAnsi="HendersonSansW00-BasicLight"/>
        </w:rPr>
        <w:t>37</w:t>
      </w:r>
      <w:r w:rsidR="003F1E2F">
        <w:rPr>
          <w:rFonts w:ascii="HendersonSansW00-BasicLight" w:hAnsi="HendersonSansW00-BasicLight"/>
        </w:rPr>
        <w:t>,</w:t>
      </w:r>
      <w:r w:rsidR="004131AA">
        <w:rPr>
          <w:rFonts w:ascii="HendersonSansW00-BasicLight" w:hAnsi="HendersonSansW00-BasicLight"/>
        </w:rPr>
        <w:t>4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253CD9" w:rsidRPr="00D25C19">
        <w:rPr>
          <w:rFonts w:ascii="HendersonSansW00-BasicLight" w:hAnsi="HendersonSansW00-BasicLight"/>
        </w:rPr>
        <w:t>.</w:t>
      </w:r>
    </w:p>
    <w:p w14:paraId="03647B6A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078AE808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6C88C557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119203AA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4B3AA68F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9933E92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1D90B40D" w14:textId="77777777" w:rsidR="00EF4CCB" w:rsidRDefault="00EF4CC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21B88E1" w14:textId="78EC5548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141D2CD3" w:rsidR="00345564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6C04FCC" w14:textId="6C686F26" w:rsidR="00C358C1" w:rsidRDefault="00EE549A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7D7CE90E" wp14:editId="431BDE81">
            <wp:extent cx="3000375" cy="3086100"/>
            <wp:effectExtent l="0" t="0" r="9525" b="0"/>
            <wp:docPr id="8013445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0B261D3F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4B7EB2">
        <w:rPr>
          <w:rFonts w:ascii="HendersonSansW00-BasicLight" w:hAnsi="HendersonSansW00-BasicLight"/>
        </w:rPr>
        <w:t>3</w:t>
      </w:r>
      <w:r w:rsidR="00D35476">
        <w:rPr>
          <w:rFonts w:ascii="HendersonSansW00-BasicLight" w:hAnsi="HendersonSansW00-BasicLight"/>
        </w:rPr>
        <w:t>88</w:t>
      </w:r>
      <w:r w:rsidR="0008739A">
        <w:rPr>
          <w:rFonts w:ascii="HendersonSansW00-BasicLight" w:hAnsi="HendersonSansW00-BasicLight"/>
        </w:rPr>
        <w:t>.</w:t>
      </w:r>
      <w:r w:rsidR="00D35476">
        <w:rPr>
          <w:rFonts w:ascii="HendersonSansW00-BasicLight" w:hAnsi="HendersonSansW00-BasicLight"/>
        </w:rPr>
        <w:t>44</w:t>
      </w:r>
      <w:r w:rsidR="006877B6">
        <w:rPr>
          <w:rFonts w:ascii="HendersonSansW00-BasicLight" w:hAnsi="HendersonSansW00-BasicLight"/>
        </w:rPr>
        <w:t>4</w:t>
      </w:r>
      <w:r w:rsidR="00944AFF" w:rsidRPr="00AD6029">
        <w:rPr>
          <w:rFonts w:ascii="HendersonSansW00-BasicLight" w:hAnsi="HendersonSansW00-BasicLight"/>
        </w:rPr>
        <w:t>,</w:t>
      </w:r>
      <w:r w:rsidR="00D3547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D35476">
        <w:rPr>
          <w:rFonts w:ascii="HendersonSansW00-BasicLight" w:hAnsi="HendersonSansW00-BasicLight"/>
        </w:rPr>
        <w:t>1</w:t>
      </w:r>
      <w:r w:rsidR="007439C3">
        <w:rPr>
          <w:rFonts w:ascii="HendersonSansW00-BasicLight" w:hAnsi="HendersonSansW00-BasicLight"/>
        </w:rPr>
        <w:t>8</w:t>
      </w:r>
      <w:r w:rsidR="009E34C5">
        <w:rPr>
          <w:rFonts w:ascii="HendersonSansW00-BasicLight" w:hAnsi="HendersonSansW00-BasicLight"/>
        </w:rPr>
        <w:t>.</w:t>
      </w:r>
      <w:r w:rsidR="00D35476">
        <w:rPr>
          <w:rFonts w:ascii="HendersonSansW00-BasicLight" w:hAnsi="HendersonSansW00-BasicLight"/>
        </w:rPr>
        <w:t>960</w:t>
      </w:r>
      <w:r w:rsidR="0004475D" w:rsidRPr="00AD6029">
        <w:rPr>
          <w:rFonts w:ascii="HendersonSansW00-BasicLight" w:hAnsi="HendersonSansW00-BasicLight"/>
        </w:rPr>
        <w:t>,</w:t>
      </w:r>
      <w:r w:rsidR="00AB1BE0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AB1BE0">
        <w:rPr>
          <w:rFonts w:ascii="HendersonSansW00-BasicLight" w:hAnsi="HendersonSansW00-BasicLight"/>
        </w:rPr>
        <w:t>5</w:t>
      </w:r>
      <w:r w:rsidR="007439C3">
        <w:rPr>
          <w:rFonts w:ascii="HendersonSansW00-BasicLight" w:hAnsi="HendersonSansW00-BasicLight"/>
        </w:rPr>
        <w:t>9</w:t>
      </w:r>
      <w:r w:rsidR="00DA6C80" w:rsidRPr="00AD6029">
        <w:rPr>
          <w:rFonts w:ascii="HendersonSansW00-BasicLight" w:hAnsi="HendersonSansW00-BasicLight"/>
        </w:rPr>
        <w:t>.</w:t>
      </w:r>
      <w:r w:rsidR="00AB1BE0">
        <w:rPr>
          <w:rFonts w:ascii="HendersonSansW00-BasicLight" w:hAnsi="HendersonSansW00-BasicLight"/>
        </w:rPr>
        <w:t>997</w:t>
      </w:r>
      <w:r w:rsidR="00122FB6" w:rsidRPr="00AD6029">
        <w:rPr>
          <w:rFonts w:ascii="HendersonSansW00-BasicLight" w:hAnsi="HendersonSansW00-BasicLight"/>
        </w:rPr>
        <w:t>,</w:t>
      </w:r>
      <w:r w:rsidR="00AB1BE0">
        <w:rPr>
          <w:rFonts w:ascii="HendersonSansW00-BasicLight" w:hAnsi="HendersonSansW00-BasicLight"/>
        </w:rPr>
        <w:t>5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213AAB">
        <w:rPr>
          <w:rFonts w:ascii="HendersonSansW00-BasicLight" w:hAnsi="HendersonSansW00-BasicLight"/>
        </w:rPr>
        <w:t>4</w:t>
      </w:r>
      <w:r w:rsidR="00AB1BE0">
        <w:rPr>
          <w:rFonts w:ascii="HendersonSansW00-BasicLight" w:hAnsi="HendersonSansW00-BasicLight"/>
        </w:rPr>
        <w:t>79</w:t>
      </w:r>
      <w:r w:rsidR="00E866D4" w:rsidRPr="00AD6029">
        <w:rPr>
          <w:rFonts w:ascii="HendersonSansW00-BasicLight" w:hAnsi="HendersonSansW00-BasicLight"/>
        </w:rPr>
        <w:t>.</w:t>
      </w:r>
      <w:r w:rsidR="00213AAB">
        <w:rPr>
          <w:rFonts w:ascii="HendersonSansW00-BasicLight" w:hAnsi="HendersonSansW00-BasicLight"/>
        </w:rPr>
        <w:t>8</w:t>
      </w:r>
      <w:r w:rsidR="00AB1BE0">
        <w:rPr>
          <w:rFonts w:ascii="HendersonSansW00-BasicLight" w:hAnsi="HendersonSansW00-BasicLight"/>
        </w:rPr>
        <w:t>76</w:t>
      </w:r>
      <w:r w:rsidR="00AD384E">
        <w:rPr>
          <w:rFonts w:ascii="HendersonSansW00-BasicLight" w:hAnsi="HendersonSansW00-BasicLight"/>
        </w:rPr>
        <w:t>.</w:t>
      </w:r>
      <w:r w:rsidR="00AB1BE0">
        <w:rPr>
          <w:rFonts w:ascii="HendersonSansW00-BasicLight" w:hAnsi="HendersonSansW00-BasicLight"/>
        </w:rPr>
        <w:t>1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2C3F8B20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F61276">
        <w:rPr>
          <w:rFonts w:ascii="HendersonSansW00-BasicLight" w:hAnsi="HendersonSansW00-BasicLight"/>
        </w:rPr>
        <w:t>534</w:t>
      </w:r>
      <w:r w:rsidR="00AD2B3A" w:rsidRPr="006714AC">
        <w:rPr>
          <w:rFonts w:ascii="HendersonSansW00-BasicLight" w:hAnsi="HendersonSansW00-BasicLight"/>
        </w:rPr>
        <w:t>.</w:t>
      </w:r>
      <w:r w:rsidR="00F61276">
        <w:rPr>
          <w:rFonts w:ascii="HendersonSansW00-BasicLight" w:hAnsi="HendersonSansW00-BasicLight"/>
        </w:rPr>
        <w:t>581</w:t>
      </w:r>
      <w:r w:rsidR="00DE592C" w:rsidRPr="006714AC">
        <w:rPr>
          <w:rFonts w:ascii="HendersonSansW00-BasicLight" w:hAnsi="HendersonSansW00-BasicLight"/>
        </w:rPr>
        <w:t>,</w:t>
      </w:r>
      <w:r w:rsidR="00F61276">
        <w:rPr>
          <w:rFonts w:ascii="HendersonSansW00-BasicLight" w:hAnsi="HendersonSansW00-BasicLight"/>
        </w:rPr>
        <w:t>0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5C74F1F0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A67B1C">
        <w:rPr>
          <w:rFonts w:ascii="HendersonSansW00-BasicLight" w:hAnsi="HendersonSansW00-BasicLight"/>
        </w:rPr>
        <w:t>8</w:t>
      </w:r>
      <w:r w:rsidR="00251AF1">
        <w:rPr>
          <w:rFonts w:ascii="HendersonSansW00-BasicLight" w:hAnsi="HendersonSansW00-BasicLight"/>
        </w:rPr>
        <w:t>4</w:t>
      </w:r>
      <w:r w:rsidR="00670EC8">
        <w:rPr>
          <w:rFonts w:ascii="HendersonSansW00-BasicLight" w:hAnsi="HendersonSansW00-BasicLight"/>
        </w:rPr>
        <w:t>,</w:t>
      </w:r>
      <w:r w:rsidR="00F61276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F61276">
        <w:rPr>
          <w:rFonts w:ascii="HendersonSansW00-BasicLight" w:hAnsi="HendersonSansW00-BasicLight"/>
        </w:rPr>
        <w:t>450</w:t>
      </w:r>
      <w:r w:rsidR="00594D78" w:rsidRPr="006C2B58">
        <w:rPr>
          <w:rFonts w:ascii="HendersonSansW00-BasicLight" w:hAnsi="HendersonSansW00-BasicLight"/>
        </w:rPr>
        <w:t>.</w:t>
      </w:r>
      <w:r w:rsidR="00F61276">
        <w:rPr>
          <w:rFonts w:ascii="HendersonSansW00-BasicLight" w:hAnsi="HendersonSansW00-BasicLight"/>
        </w:rPr>
        <w:t>904</w:t>
      </w:r>
      <w:r w:rsidR="00DE592C" w:rsidRPr="006C2B58">
        <w:rPr>
          <w:rFonts w:ascii="HendersonSansW00-BasicLight" w:hAnsi="HendersonSansW00-BasicLight"/>
        </w:rPr>
        <w:t>,</w:t>
      </w:r>
      <w:r w:rsidR="00F61276">
        <w:rPr>
          <w:rFonts w:ascii="HendersonSansW00-BasicLight" w:hAnsi="HendersonSansW00-BasicLight"/>
        </w:rPr>
        <w:t>5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A664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007FB5">
        <w:rPr>
          <w:rFonts w:ascii="HendersonSansW00-BasicLight" w:hAnsi="HendersonSansW00-BasicLight"/>
        </w:rPr>
        <w:t>3</w:t>
      </w:r>
      <w:r w:rsidR="00FC2734">
        <w:rPr>
          <w:rFonts w:ascii="HendersonSansW00-BasicLight" w:hAnsi="HendersonSansW00-BasicLight"/>
        </w:rPr>
        <w:t>9</w:t>
      </w:r>
      <w:r w:rsidR="00DE592C" w:rsidRPr="00AD6029">
        <w:rPr>
          <w:rFonts w:ascii="HendersonSansW00-BasicLight" w:hAnsi="HendersonSansW00-BasicLight"/>
        </w:rPr>
        <w:t>.</w:t>
      </w:r>
      <w:r w:rsidR="00FC2734">
        <w:rPr>
          <w:rFonts w:ascii="HendersonSansW00-BasicLight" w:hAnsi="HendersonSansW00-BasicLight"/>
        </w:rPr>
        <w:t>856</w:t>
      </w:r>
      <w:r w:rsidR="00CE644A">
        <w:rPr>
          <w:rFonts w:ascii="HendersonSansW00-BasicLight" w:hAnsi="HendersonSansW00-BasicLight"/>
        </w:rPr>
        <w:t>,</w:t>
      </w:r>
      <w:r w:rsidR="00FC2734">
        <w:rPr>
          <w:rFonts w:ascii="HendersonSansW00-BasicLight" w:hAnsi="HendersonSansW00-BasicLight"/>
        </w:rPr>
        <w:t>2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5A3F23">
        <w:rPr>
          <w:rFonts w:ascii="HendersonSansW00-BasicLight" w:hAnsi="HendersonSansW00-BasicLight"/>
        </w:rPr>
        <w:t>8</w:t>
      </w:r>
      <w:r w:rsidR="00573E4D">
        <w:rPr>
          <w:rFonts w:ascii="HendersonSansW00-BasicLight" w:hAnsi="HendersonSansW00-BasicLight"/>
        </w:rPr>
        <w:t>,</w:t>
      </w:r>
      <w:r w:rsidR="007A3058">
        <w:rPr>
          <w:rFonts w:ascii="HendersonSansW00-BasicLight" w:hAnsi="HendersonSansW00-BasicLight"/>
        </w:rPr>
        <w:t>5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7A3058">
        <w:rPr>
          <w:rFonts w:ascii="HendersonSansW00-BasicLight" w:hAnsi="HendersonSansW00-BasicLight"/>
        </w:rPr>
        <w:t>4</w:t>
      </w:r>
      <w:r w:rsidR="009733A8">
        <w:rPr>
          <w:rFonts w:ascii="HendersonSansW00-BasicLight" w:hAnsi="HendersonSansW00-BasicLight"/>
        </w:rPr>
        <w:t>5</w:t>
      </w:r>
      <w:r w:rsidR="00AD2B3A" w:rsidRPr="00AD6029">
        <w:rPr>
          <w:rFonts w:ascii="HendersonSansW00-BasicLight" w:hAnsi="HendersonSansW00-BasicLight"/>
        </w:rPr>
        <w:t>.</w:t>
      </w:r>
      <w:r w:rsidR="009733A8">
        <w:rPr>
          <w:rFonts w:ascii="HendersonSansW00-BasicLight" w:hAnsi="HendersonSansW00-BasicLight"/>
        </w:rPr>
        <w:t>615</w:t>
      </w:r>
      <w:r w:rsidR="00DE592C" w:rsidRPr="00AD6029">
        <w:rPr>
          <w:rFonts w:ascii="HendersonSansW00-BasicLight" w:hAnsi="HendersonSansW00-BasicLight"/>
        </w:rPr>
        <w:t>,</w:t>
      </w:r>
      <w:r w:rsidR="009733A8">
        <w:rPr>
          <w:rFonts w:ascii="HendersonSansW00-BasicLight" w:hAnsi="HendersonSansW00-BasicLight"/>
        </w:rPr>
        <w:t>3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35342B40" w:rsidR="004327B6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468AA91D" w:rsidR="00DC3278" w:rsidRPr="00AD6029" w:rsidRDefault="009733A8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08689BD" wp14:editId="42FD9B4E">
            <wp:extent cx="3114675" cy="2619375"/>
            <wp:effectExtent l="0" t="0" r="9525" b="9525"/>
            <wp:docPr id="18503116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DF2BEEA" w14:textId="502D20EB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2025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41B85B0A" w14:textId="307B5333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40A87B70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692183">
        <w:rPr>
          <w:rFonts w:ascii="HendersonSansW00-BasicLight" w:hAnsi="HendersonSansW00-BasicLight"/>
        </w:rPr>
        <w:t>75</w:t>
      </w:r>
      <w:r w:rsidR="00F0612C">
        <w:rPr>
          <w:rFonts w:ascii="HendersonSansW00-BasicLight" w:hAnsi="HendersonSansW00-BasicLight"/>
        </w:rPr>
        <w:t>.</w:t>
      </w:r>
      <w:r w:rsidR="00692183">
        <w:rPr>
          <w:rFonts w:ascii="HendersonSansW00-BasicLight" w:hAnsi="HendersonSansW00-BasicLight"/>
        </w:rPr>
        <w:t>111</w:t>
      </w:r>
      <w:r w:rsidR="00FB4005">
        <w:rPr>
          <w:rFonts w:ascii="HendersonSansW00-BasicLight" w:hAnsi="HendersonSansW00-BasicLight"/>
        </w:rPr>
        <w:t>,</w:t>
      </w:r>
      <w:r w:rsidR="00692183">
        <w:rPr>
          <w:rFonts w:ascii="HendersonSansW00-BasicLight" w:hAnsi="HendersonSansW00-BasicLight"/>
        </w:rPr>
        <w:t>4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203471">
        <w:rPr>
          <w:rFonts w:ascii="HendersonSansW00-BasicLight" w:hAnsi="HendersonSansW00-BasicLight"/>
        </w:rPr>
        <w:t>2</w:t>
      </w:r>
      <w:r w:rsidR="00692183">
        <w:rPr>
          <w:rFonts w:ascii="HendersonSansW00-BasicLight" w:hAnsi="HendersonSansW00-BasicLight"/>
        </w:rPr>
        <w:t>9</w:t>
      </w:r>
      <w:r w:rsidR="006F4B68" w:rsidRPr="00AD6029">
        <w:rPr>
          <w:rFonts w:ascii="HendersonSansW00-BasicLight" w:hAnsi="HendersonSansW00-BasicLight"/>
        </w:rPr>
        <w:t>.</w:t>
      </w:r>
      <w:r w:rsidR="00692183">
        <w:rPr>
          <w:rFonts w:ascii="HendersonSansW00-BasicLight" w:hAnsi="HendersonSansW00-BasicLight"/>
        </w:rPr>
        <w:t>462</w:t>
      </w:r>
      <w:r w:rsidR="005D354F" w:rsidRPr="00AD6029">
        <w:rPr>
          <w:rFonts w:ascii="HendersonSansW00-BasicLight" w:hAnsi="HendersonSansW00-BasicLight"/>
        </w:rPr>
        <w:t>,</w:t>
      </w:r>
      <w:r w:rsidR="0022497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224972">
        <w:rPr>
          <w:rFonts w:ascii="HendersonSansW00-BasicLight" w:hAnsi="HendersonSansW00-BasicLight"/>
        </w:rPr>
        <w:t>45</w:t>
      </w:r>
      <w:r w:rsidR="00671DB6" w:rsidRPr="00AD6029">
        <w:rPr>
          <w:rFonts w:ascii="HendersonSansW00-BasicLight" w:hAnsi="HendersonSansW00-BasicLight"/>
        </w:rPr>
        <w:t>.</w:t>
      </w:r>
      <w:r w:rsidR="00224972">
        <w:rPr>
          <w:rFonts w:ascii="HendersonSansW00-BasicLight" w:hAnsi="HendersonSansW00-BasicLight"/>
        </w:rPr>
        <w:t>648</w:t>
      </w:r>
      <w:r w:rsidR="00C22545" w:rsidRPr="00AD6029">
        <w:rPr>
          <w:rFonts w:ascii="HendersonSansW00-BasicLight" w:hAnsi="HendersonSansW00-BasicLight"/>
        </w:rPr>
        <w:t>,</w:t>
      </w:r>
      <w:r w:rsidR="00224972">
        <w:rPr>
          <w:rFonts w:ascii="HendersonSansW00-BasicLight" w:hAnsi="HendersonSansW00-BasicLight"/>
        </w:rPr>
        <w:t>5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224972">
        <w:rPr>
          <w:rFonts w:ascii="HendersonSansW00-BasicLight" w:hAnsi="HendersonSansW00-BasicLight"/>
        </w:rPr>
        <w:t>46,1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881F43">
        <w:rPr>
          <w:rFonts w:ascii="HendersonSansW00-BasicLight" w:hAnsi="HendersonSansW00-BasicLight"/>
        </w:rPr>
        <w:t>agosto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el</w:t>
      </w:r>
      <w:r w:rsidR="00AA1F44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aumento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las transferencias </w:t>
      </w:r>
      <w:r w:rsidR="007D5296">
        <w:rPr>
          <w:rFonts w:ascii="HendersonSansW00-BasicLight" w:hAnsi="HendersonSansW00-BasicLight"/>
        </w:rPr>
        <w:t>del sector público</w:t>
      </w:r>
      <w:r w:rsidR="00671915">
        <w:rPr>
          <w:rFonts w:ascii="HendersonSansW00-BasicLight" w:hAnsi="HendersonSansW00-BasicLight"/>
        </w:rPr>
        <w:t xml:space="preserve"> y privado</w:t>
      </w:r>
      <w:r w:rsidR="009B7DFB">
        <w:rPr>
          <w:rFonts w:ascii="HendersonSansW00-BasicLight" w:hAnsi="HendersonSansW00-BasicLight"/>
        </w:rPr>
        <w:t>, así como transferencias con recurso externo</w:t>
      </w:r>
    </w:p>
    <w:p w14:paraId="2CA482AC" w14:textId="77777777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488F563D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873486">
        <w:rPr>
          <w:rFonts w:ascii="HendersonSansW00-BasicLight" w:hAnsi="HendersonSansW00-BasicLight"/>
        </w:rPr>
        <w:t>27,0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881F43">
        <w:rPr>
          <w:rFonts w:ascii="HendersonSansW00-BasicLight" w:hAnsi="HendersonSansW00-BasicLight"/>
        </w:rPr>
        <w:t>agosto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>principalmente por</w:t>
      </w:r>
      <w:r w:rsidR="007F2D46">
        <w:rPr>
          <w:rFonts w:ascii="HendersonSansW00-BasicLight" w:hAnsi="HendersonSansW00-BasicLight"/>
        </w:rPr>
        <w:t xml:space="preserve"> </w:t>
      </w:r>
      <w:r w:rsidR="00267871">
        <w:rPr>
          <w:rFonts w:ascii="HendersonSansW00-BasicLight" w:hAnsi="HendersonSansW00-BasicLight"/>
        </w:rPr>
        <w:lastRenderedPageBreak/>
        <w:t>el</w:t>
      </w:r>
      <w:r w:rsidR="00FE4DA1">
        <w:rPr>
          <w:rFonts w:ascii="HendersonSansW00-BasicLight" w:hAnsi="HendersonSansW00-BasicLight"/>
        </w:rPr>
        <w:t xml:space="preserve"> </w:t>
      </w:r>
      <w:r w:rsidR="00267871">
        <w:rPr>
          <w:rFonts w:ascii="HendersonSansW00-BasicLight" w:hAnsi="HendersonSansW00-BasicLight"/>
        </w:rPr>
        <w:t>aumento</w:t>
      </w:r>
      <w:r w:rsidR="00FE4DA1">
        <w:rPr>
          <w:rFonts w:ascii="HendersonSansW00-BasicLight" w:hAnsi="HendersonSansW00-BasicLight"/>
        </w:rPr>
        <w:t xml:space="preserve"> de maquinaria</w:t>
      </w:r>
      <w:r w:rsidR="00F04D6C">
        <w:rPr>
          <w:rFonts w:ascii="HendersonSansW00-BasicLight" w:hAnsi="HendersonSansW00-BasicLight"/>
        </w:rPr>
        <w:t xml:space="preserve">, equipo y mobiliario, </w:t>
      </w:r>
      <w:r w:rsidR="00B1190D">
        <w:rPr>
          <w:rFonts w:ascii="HendersonSansW00-BasicLight" w:hAnsi="HendersonSansW00-BasicLight"/>
        </w:rPr>
        <w:t xml:space="preserve">vías de comunicación terrestre </w:t>
      </w:r>
      <w:r w:rsidR="00641640">
        <w:rPr>
          <w:rFonts w:ascii="HendersonSansW00-BasicLight" w:hAnsi="HendersonSansW00-BasicLight"/>
        </w:rPr>
        <w:t xml:space="preserve">y </w:t>
      </w:r>
      <w:r w:rsidR="00DF423A">
        <w:rPr>
          <w:rFonts w:ascii="HendersonSansW00-BasicLight" w:hAnsi="HendersonSansW00-BasicLight"/>
        </w:rPr>
        <w:t xml:space="preserve">gastos capitalizables de </w:t>
      </w:r>
      <w:r w:rsidR="00AE15D9">
        <w:rPr>
          <w:rFonts w:ascii="HendersonSansW00-BasicLight" w:hAnsi="HendersonSansW00-BasicLight"/>
        </w:rPr>
        <w:t>los programas del MOPT</w:t>
      </w:r>
      <w:r w:rsidR="0035545F">
        <w:rPr>
          <w:rFonts w:ascii="HendersonSansW00-BasicLight" w:hAnsi="HendersonSansW00-BasicLight"/>
        </w:rPr>
        <w:t xml:space="preserve"> (327-328-329-332</w:t>
      </w:r>
      <w:r w:rsidR="008F2102">
        <w:rPr>
          <w:rFonts w:ascii="HendersonSansW00-BasicLight" w:hAnsi="HendersonSansW00-BasicLight"/>
        </w:rPr>
        <w:t>, el MAG</w:t>
      </w:r>
      <w:r w:rsidR="0035545F">
        <w:rPr>
          <w:rFonts w:ascii="HendersonSansW00-BasicLight" w:hAnsi="HendersonSansW00-BasicLight"/>
        </w:rPr>
        <w:t xml:space="preserve"> (881)</w:t>
      </w:r>
      <w:r w:rsidR="00641640">
        <w:rPr>
          <w:rFonts w:ascii="HendersonSansW00-BasicLight" w:hAnsi="HendersonSansW00-BasicLight"/>
        </w:rPr>
        <w:t>.</w:t>
      </w:r>
    </w:p>
    <w:p w14:paraId="5C426ABD" w14:textId="77777777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4740128A" w:rsidR="001C227C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C4C20FD" w14:textId="37CBAAA4" w:rsidR="00E54627" w:rsidRPr="00AD6029" w:rsidRDefault="00BA3B56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1B5E387C" wp14:editId="551F8D16">
            <wp:extent cx="3067050" cy="3022600"/>
            <wp:effectExtent l="0" t="0" r="0" b="6350"/>
            <wp:docPr id="2690079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12144C59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>en construcciones</w:t>
      </w:r>
      <w:r w:rsidR="00262EBF">
        <w:rPr>
          <w:rFonts w:ascii="HendersonSansW00-BasicLight" w:hAnsi="HendersonSansW00-BasicLight"/>
        </w:rPr>
        <w:t xml:space="preserve">, adiciones y mejoras, así como </w:t>
      </w:r>
      <w:r w:rsidR="007E6A88">
        <w:rPr>
          <w:rFonts w:ascii="HendersonSansW00-BasicLight" w:hAnsi="HendersonSansW00-BasicLight"/>
        </w:rPr>
        <w:t xml:space="preserve">un pequeño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A5F2906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C1E2AC9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79658A8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254E6A0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A89DE8A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31C06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585C036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7C4F904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183F841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976BC08" w14:textId="77777777" w:rsidR="00732B49" w:rsidRDefault="00732B4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3007AF4" w14:textId="537BA506" w:rsidR="008018B7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1C9AD3C9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881F43"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proofErr w:type="gramEnd"/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350BBE0A" w:rsidR="00C237D7" w:rsidRPr="00AD6029" w:rsidRDefault="001400CE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E865A27" wp14:editId="1C53ABD5">
            <wp:extent cx="2981325" cy="3743325"/>
            <wp:effectExtent l="0" t="0" r="9525" b="9525"/>
            <wp:docPr id="2123686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7CC3CDCC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4A49E0">
        <w:rPr>
          <w:rFonts w:ascii="HendersonSansW00-BasicLight" w:hAnsi="HendersonSansW00-BasicLight"/>
        </w:rPr>
        <w:t>45</w:t>
      </w:r>
      <w:r w:rsidR="00603F6D">
        <w:rPr>
          <w:rFonts w:ascii="HendersonSansW00-BasicLight" w:hAnsi="HendersonSansW00-BasicLight"/>
        </w:rPr>
        <w:t>.</w:t>
      </w:r>
      <w:r w:rsidR="004A49E0">
        <w:rPr>
          <w:rFonts w:ascii="HendersonSansW00-BasicLight" w:hAnsi="HendersonSansW00-BasicLight"/>
        </w:rPr>
        <w:t>648</w:t>
      </w:r>
      <w:r w:rsidR="00BC3C29" w:rsidRPr="00AD6029">
        <w:rPr>
          <w:rFonts w:ascii="HendersonSansW00-BasicLight" w:hAnsi="HendersonSansW00-BasicLight"/>
        </w:rPr>
        <w:t>,</w:t>
      </w:r>
      <w:r w:rsidR="004A49E0">
        <w:rPr>
          <w:rFonts w:ascii="HendersonSansW00-BasicLight" w:hAnsi="HendersonSansW00-BasicLight"/>
        </w:rPr>
        <w:t>5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9F756D">
        <w:rPr>
          <w:rFonts w:ascii="HendersonSansW00-BasicLight" w:hAnsi="HendersonSansW00-BasicLight"/>
        </w:rPr>
        <w:t>aumento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1F1D16">
        <w:rPr>
          <w:rFonts w:ascii="HendersonSansW00-BasicLight" w:hAnsi="HendersonSansW00-BasicLight"/>
        </w:rPr>
        <w:t>61</w:t>
      </w:r>
      <w:r w:rsidR="00BC3C29" w:rsidRPr="00AD6029">
        <w:rPr>
          <w:rFonts w:ascii="HendersonSansW00-BasicLight" w:hAnsi="HendersonSansW00-BasicLight"/>
        </w:rPr>
        <w:t>,</w:t>
      </w:r>
      <w:r w:rsidR="001F1D16">
        <w:rPr>
          <w:rFonts w:ascii="HendersonSansW00-BasicLight" w:hAnsi="HendersonSansW00-BasicLight"/>
        </w:rPr>
        <w:t>9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881F43">
        <w:rPr>
          <w:rFonts w:ascii="HendersonSansW00-BasicLight" w:hAnsi="HendersonSansW00-BasicLight"/>
        </w:rPr>
        <w:t>agosto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 xml:space="preserve">acumuladas reflejan una caída de </w:t>
      </w:r>
      <w:r w:rsidR="001F1D16">
        <w:rPr>
          <w:rFonts w:ascii="HendersonSansW00-BasicLight" w:hAnsi="HendersonSansW00-BasicLight"/>
        </w:rPr>
        <w:t>6</w:t>
      </w:r>
      <w:r w:rsidR="00B71E1A">
        <w:rPr>
          <w:rFonts w:ascii="HendersonSansW00-BasicLight" w:hAnsi="HendersonSansW00-BasicLight"/>
        </w:rPr>
        <w:t>,</w:t>
      </w:r>
      <w:r w:rsidR="001F1D16">
        <w:rPr>
          <w:rFonts w:ascii="HendersonSansW00-BasicLight" w:hAnsi="HendersonSansW00-BasicLight"/>
        </w:rPr>
        <w:t>2</w:t>
      </w:r>
      <w:r w:rsidR="00B71E1A">
        <w:rPr>
          <w:rFonts w:ascii="HendersonSansW00-BasicLight" w:hAnsi="HendersonSansW00-BasicLight"/>
        </w:rPr>
        <w:t>%.</w:t>
      </w:r>
    </w:p>
    <w:p w14:paraId="58101F3C" w14:textId="66AC40CA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644B17">
        <w:rPr>
          <w:rFonts w:ascii="HendersonSansW00-BasicLight" w:hAnsi="HendersonSansW00-BasicLight"/>
        </w:rPr>
        <w:t>228</w:t>
      </w:r>
      <w:r w:rsidR="00937271">
        <w:rPr>
          <w:rFonts w:ascii="HendersonSansW00-BasicLight" w:hAnsi="HendersonSansW00-BasicLight"/>
        </w:rPr>
        <w:t>.</w:t>
      </w:r>
      <w:r w:rsidR="00644B17">
        <w:rPr>
          <w:rFonts w:ascii="HendersonSansW00-BasicLight" w:hAnsi="HendersonSansW00-BasicLight"/>
        </w:rPr>
        <w:t>875</w:t>
      </w:r>
      <w:r w:rsidRPr="00AD6029">
        <w:rPr>
          <w:rFonts w:ascii="HendersonSansW00-BasicLight" w:hAnsi="HendersonSansW00-BasicLight"/>
        </w:rPr>
        <w:t>,</w:t>
      </w:r>
      <w:r w:rsidR="005A047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5A0472">
        <w:rPr>
          <w:rFonts w:ascii="HendersonSansW00-BasicLight" w:hAnsi="HendersonSansW00-BasicLight" w:cs="Arial"/>
        </w:rPr>
        <w:t>10</w:t>
      </w:r>
      <w:r w:rsidR="001F2462">
        <w:rPr>
          <w:rFonts w:ascii="HendersonSansW00-BasicLight" w:hAnsi="HendersonSansW00-BasicLight" w:cs="Arial"/>
        </w:rPr>
        <w:t>.</w:t>
      </w:r>
      <w:r w:rsidR="005A0472">
        <w:rPr>
          <w:rFonts w:ascii="HendersonSansW00-BasicLight" w:hAnsi="HendersonSansW00-BasicLight" w:cs="Arial"/>
        </w:rPr>
        <w:t>384</w:t>
      </w:r>
      <w:r w:rsidR="00E14E65">
        <w:rPr>
          <w:rFonts w:ascii="HendersonSansW00-BasicLight" w:hAnsi="HendersonSansW00-BasicLight" w:cs="Arial"/>
        </w:rPr>
        <w:t>.</w:t>
      </w:r>
      <w:r w:rsidR="005A0472">
        <w:rPr>
          <w:rFonts w:ascii="HendersonSansW00-BasicLight" w:hAnsi="HendersonSansW00-BasicLight" w:cs="Arial"/>
        </w:rPr>
        <w:t>6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t>¢</w:t>
      </w:r>
      <w:r w:rsidR="005C5C1F">
        <w:rPr>
          <w:rFonts w:ascii="HendersonSansW00-BasicLight" w:hAnsi="HendersonSansW00-BasicLight" w:cs="Arial"/>
        </w:rPr>
        <w:t>4</w:t>
      </w:r>
      <w:r w:rsidR="003D51F3">
        <w:rPr>
          <w:rFonts w:ascii="HendersonSansW00-BasicLight" w:hAnsi="HendersonSansW00-BasicLight" w:cs="Arial"/>
        </w:rPr>
        <w:t>.</w:t>
      </w:r>
      <w:r w:rsidR="004A6992">
        <w:rPr>
          <w:rFonts w:ascii="HendersonSansW00-BasicLight" w:hAnsi="HendersonSansW00-BasicLight" w:cs="Arial"/>
        </w:rPr>
        <w:t>8</w:t>
      </w:r>
      <w:r w:rsidR="000065E4">
        <w:rPr>
          <w:rFonts w:ascii="HendersonSansW00-BasicLight" w:hAnsi="HendersonSansW00-BasicLight" w:cs="Arial"/>
        </w:rPr>
        <w:t>80</w:t>
      </w:r>
      <w:r w:rsidR="003D51F3">
        <w:rPr>
          <w:rFonts w:ascii="HendersonSansW00-BasicLight" w:hAnsi="HendersonSansW00-BasicLight" w:cs="Arial"/>
        </w:rPr>
        <w:t>,</w:t>
      </w:r>
      <w:r w:rsidR="000065E4">
        <w:rPr>
          <w:rFonts w:ascii="HendersonSansW00-BasicLight" w:hAnsi="HendersonSansW00-BasicLight" w:cs="Arial"/>
        </w:rPr>
        <w:t>7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4A6992">
        <w:rPr>
          <w:rFonts w:ascii="HendersonSansW00-BasicLight" w:hAnsi="HendersonSansW00-BasicLight" w:cs="Arial"/>
        </w:rPr>
        <w:t>2</w:t>
      </w:r>
      <w:r w:rsidR="00075066">
        <w:rPr>
          <w:rFonts w:ascii="HendersonSansW00-BasicLight" w:hAnsi="HendersonSansW00-BasicLight" w:cs="Arial"/>
        </w:rPr>
        <w:t>.</w:t>
      </w:r>
      <w:r w:rsidR="000065E4">
        <w:rPr>
          <w:rFonts w:ascii="HendersonSansW00-BasicLight" w:hAnsi="HendersonSansW00-BasicLight" w:cs="Arial"/>
        </w:rPr>
        <w:t>545</w:t>
      </w:r>
      <w:r w:rsidR="005E270C">
        <w:rPr>
          <w:rFonts w:ascii="HendersonSansW00-BasicLight" w:hAnsi="HendersonSansW00-BasicLight" w:cs="Arial"/>
        </w:rPr>
        <w:t>,</w:t>
      </w:r>
      <w:r w:rsidR="000065E4">
        <w:rPr>
          <w:rFonts w:ascii="HendersonSansW00-BasicLight" w:hAnsi="HendersonSansW00-BasicLight" w:cs="Arial"/>
        </w:rPr>
        <w:t>8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0065E4">
        <w:rPr>
          <w:rFonts w:ascii="HendersonSansW00-BasicLight" w:hAnsi="HendersonSansW00-BasicLight" w:cs="Arial"/>
        </w:rPr>
        <w:t>100</w:t>
      </w:r>
      <w:r w:rsidR="007863F2" w:rsidRPr="009C7AA8">
        <w:rPr>
          <w:rFonts w:ascii="HendersonSansW00-BasicLight" w:hAnsi="HendersonSansW00-BasicLight" w:cs="Arial"/>
        </w:rPr>
        <w:t>.</w:t>
      </w:r>
      <w:r w:rsidR="000065E4">
        <w:rPr>
          <w:rFonts w:ascii="HendersonSansW00-BasicLight" w:hAnsi="HendersonSansW00-BasicLight" w:cs="Arial"/>
        </w:rPr>
        <w:t>398</w:t>
      </w:r>
      <w:r w:rsidR="007863F2" w:rsidRPr="009C7AA8">
        <w:rPr>
          <w:rFonts w:ascii="HendersonSansW00-BasicLight" w:hAnsi="HendersonSansW00-BasicLight" w:cs="Arial"/>
        </w:rPr>
        <w:t>.</w:t>
      </w:r>
      <w:r w:rsidR="000065E4">
        <w:rPr>
          <w:rFonts w:ascii="HendersonSansW00-BasicLight" w:hAnsi="HendersonSansW00-BasicLight" w:cs="Arial"/>
        </w:rPr>
        <w:t>7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 xml:space="preserve">otecario de la </w:t>
      </w:r>
      <w:r w:rsidR="00B36690">
        <w:rPr>
          <w:rFonts w:ascii="HendersonSansW00-BasicLight" w:hAnsi="HendersonSansW00-BasicLight" w:cs="Arial"/>
        </w:rPr>
        <w:lastRenderedPageBreak/>
        <w:t>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D77A31">
        <w:rPr>
          <w:rFonts w:ascii="HendersonSansW00-BasicLight" w:hAnsi="HendersonSansW00-BasicLight" w:cs="Arial"/>
        </w:rPr>
        <w:t>69</w:t>
      </w:r>
      <w:r w:rsidR="00753042">
        <w:rPr>
          <w:rFonts w:ascii="HendersonSansW00-BasicLight" w:hAnsi="HendersonSansW00-BasicLight" w:cs="Arial"/>
        </w:rPr>
        <w:t>.</w:t>
      </w:r>
      <w:r w:rsidR="00D77A31">
        <w:rPr>
          <w:rFonts w:ascii="HendersonSansW00-BasicLight" w:hAnsi="HendersonSansW00-BasicLight" w:cs="Arial"/>
        </w:rPr>
        <w:t>314</w:t>
      </w:r>
      <w:r w:rsidR="00A34E5D">
        <w:rPr>
          <w:rFonts w:ascii="HendersonSansW00-BasicLight" w:hAnsi="HendersonSansW00-BasicLight" w:cs="Arial"/>
        </w:rPr>
        <w:t>,</w:t>
      </w:r>
      <w:r w:rsidR="00D77A31">
        <w:rPr>
          <w:rFonts w:ascii="HendersonSansW00-BasicLight" w:hAnsi="HendersonSansW00-BasicLight" w:cs="Arial"/>
        </w:rPr>
        <w:t>3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D77A31">
        <w:rPr>
          <w:rFonts w:ascii="HendersonSansW00-BasicLight" w:hAnsi="HendersonSansW00-BasicLight" w:cs="Arial"/>
        </w:rPr>
        <w:t>8</w:t>
      </w:r>
      <w:r w:rsidR="00A94F14">
        <w:rPr>
          <w:rFonts w:ascii="HendersonSansW00-BasicLight" w:hAnsi="HendersonSansW00-BasicLight" w:cs="Arial"/>
        </w:rPr>
        <w:t>.</w:t>
      </w:r>
      <w:r w:rsidR="00D77A31">
        <w:rPr>
          <w:rFonts w:ascii="HendersonSansW00-BasicLight" w:hAnsi="HendersonSansW00-BasicLight" w:cs="Arial"/>
        </w:rPr>
        <w:t>433</w:t>
      </w:r>
      <w:r w:rsidR="008E649E">
        <w:rPr>
          <w:rFonts w:ascii="HendersonSansW00-BasicLight" w:hAnsi="HendersonSansW00-BasicLight" w:cs="Arial"/>
        </w:rPr>
        <w:t>,</w:t>
      </w:r>
      <w:r w:rsidR="00D77A31">
        <w:rPr>
          <w:rFonts w:ascii="HendersonSansW00-BasicLight" w:hAnsi="HendersonSansW00-BasicLight" w:cs="Arial"/>
        </w:rPr>
        <w:t>8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1964A9E8" w:rsidR="00DD0972" w:rsidRPr="00FC5FBF" w:rsidRDefault="00881F4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Agosto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0F1A458" w14:textId="49C30B3F" w:rsidR="004A2DFE" w:rsidRPr="00AD6029" w:rsidRDefault="0008488F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A9353EA" wp14:editId="33DBED41">
            <wp:extent cx="3048000" cy="3276600"/>
            <wp:effectExtent l="0" t="0" r="0" b="0"/>
            <wp:docPr id="5357072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2B4FFBB6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7598A7B1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272512">
        <w:rPr>
          <w:rFonts w:ascii="HendersonSansW00-BasicLight" w:hAnsi="HendersonSansW00-BasicLight"/>
        </w:rPr>
        <w:t>1</w:t>
      </w:r>
      <w:r w:rsidR="008634DC">
        <w:rPr>
          <w:rFonts w:ascii="HendersonSansW00-BasicLight" w:hAnsi="HendersonSansW00-BasicLight"/>
        </w:rPr>
        <w:t>.</w:t>
      </w:r>
      <w:r w:rsidR="00272512">
        <w:rPr>
          <w:rFonts w:ascii="HendersonSansW00-BasicLight" w:hAnsi="HendersonSansW00-BasicLight"/>
        </w:rPr>
        <w:t>016</w:t>
      </w:r>
      <w:r w:rsidR="00FE5C6C" w:rsidRPr="00AD6029">
        <w:rPr>
          <w:rFonts w:ascii="HendersonSansW00-BasicLight" w:hAnsi="HendersonSansW00-BasicLight"/>
        </w:rPr>
        <w:t>.</w:t>
      </w:r>
      <w:r w:rsidR="008634DC">
        <w:rPr>
          <w:rFonts w:ascii="HendersonSansW00-BasicLight" w:hAnsi="HendersonSansW00-BasicLight"/>
        </w:rPr>
        <w:t>010</w:t>
      </w:r>
      <w:r w:rsidR="008C57A8" w:rsidRPr="00AD6029">
        <w:rPr>
          <w:rFonts w:ascii="HendersonSansW00-BasicLight" w:hAnsi="HendersonSansW00-BasicLight"/>
        </w:rPr>
        <w:t>,</w:t>
      </w:r>
      <w:r w:rsidR="00EB46BF">
        <w:rPr>
          <w:rFonts w:ascii="HendersonSansW00-BasicLight" w:hAnsi="HendersonSansW00-BasicLight"/>
        </w:rPr>
        <w:t>5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096409">
        <w:rPr>
          <w:rFonts w:ascii="HendersonSansW00-BasicLight" w:hAnsi="HendersonSansW00-BasicLight"/>
        </w:rPr>
        <w:t>2</w:t>
      </w:r>
      <w:r w:rsidR="00B04FE8">
        <w:rPr>
          <w:rFonts w:ascii="HendersonSansW00-BasicLight" w:hAnsi="HendersonSansW00-BasicLight"/>
        </w:rPr>
        <w:t>.</w:t>
      </w:r>
      <w:r w:rsidR="00096409">
        <w:rPr>
          <w:rFonts w:ascii="HendersonSansW00-BasicLight" w:hAnsi="HendersonSansW00-BasicLight"/>
        </w:rPr>
        <w:t>0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EE568C">
        <w:rPr>
          <w:rFonts w:ascii="HendersonSansW00-BasicLight" w:hAnsi="HendersonSansW00-BasicLight"/>
        </w:rPr>
        <w:t xml:space="preserve"> </w:t>
      </w:r>
      <w:r w:rsidR="00096409">
        <w:rPr>
          <w:rFonts w:ascii="HendersonSansW00-BasicLight" w:hAnsi="HendersonSansW00-BasicLight"/>
        </w:rPr>
        <w:t>aumento</w:t>
      </w:r>
      <w:r w:rsidR="001C0656"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63A7B27E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811CC4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811CC4">
        <w:rPr>
          <w:rFonts w:ascii="HendersonSansW00-BasicLight" w:hAnsi="HendersonSansW00-BasicLight"/>
        </w:rPr>
        <w:t>8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FF6FF7">
        <w:rPr>
          <w:rFonts w:ascii="HendersonSansW00-BasicLight" w:hAnsi="HendersonSansW00-BasicLight"/>
        </w:rPr>
        <w:t>2</w:t>
      </w:r>
      <w:r w:rsidR="00082334" w:rsidRPr="00AD6029">
        <w:rPr>
          <w:rFonts w:ascii="HendersonSansW00-BasicLight" w:hAnsi="HendersonSansW00-BasicLight"/>
        </w:rPr>
        <w:t>,</w:t>
      </w:r>
      <w:r w:rsidR="00FF6FF7">
        <w:rPr>
          <w:rFonts w:ascii="HendersonSansW00-BasicLight" w:hAnsi="HendersonSansW00-BasicLight"/>
        </w:rPr>
        <w:t>2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FF6FF7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FF6FF7">
        <w:rPr>
          <w:rFonts w:ascii="HendersonSansW00-BasicLight" w:hAnsi="HendersonSansW00-BasicLight"/>
        </w:rPr>
        <w:t>7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FF6FF7">
        <w:rPr>
          <w:rFonts w:ascii="HendersonSansW00-BasicLight" w:hAnsi="HendersonSansW00-BasicLight"/>
        </w:rPr>
        <w:t>inferior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0D75B0">
        <w:rPr>
          <w:rFonts w:ascii="HendersonSansW00-BasicLight" w:hAnsi="HendersonSansW00-BasicLight"/>
        </w:rPr>
        <w:t>3</w:t>
      </w:r>
      <w:r w:rsidR="00E54FDB">
        <w:rPr>
          <w:rFonts w:ascii="HendersonSansW00-BasicLight" w:hAnsi="HendersonSansW00-BasicLight"/>
        </w:rPr>
        <w:t>.</w:t>
      </w:r>
      <w:r w:rsidR="000D75B0">
        <w:rPr>
          <w:rFonts w:ascii="HendersonSansW00-BasicLight" w:hAnsi="HendersonSansW00-BasicLight"/>
        </w:rPr>
        <w:t>7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881F43">
        <w:rPr>
          <w:rFonts w:ascii="HendersonSansW00-BasicLight" w:hAnsi="HendersonSansW00-BasicLight"/>
        </w:rPr>
        <w:t>agosto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261D1CCD" w14:textId="2B0B5ABD" w:rsidR="00354782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c</w:t>
      </w:r>
      <w:r w:rsidR="005E580F">
        <w:rPr>
          <w:rFonts w:ascii="HendersonSansW00-BasicLight" w:hAnsi="HendersonSansW00-BasicLight"/>
        </w:rPr>
        <w:t>ayó</w:t>
      </w:r>
      <w:r w:rsidR="00F73F36" w:rsidRPr="00AD6029">
        <w:rPr>
          <w:rFonts w:ascii="HendersonSansW00-BasicLight" w:hAnsi="HendersonSansW00-BasicLight"/>
        </w:rPr>
        <w:t xml:space="preserve"> en</w:t>
      </w:r>
      <w:r w:rsidR="00E54FDB">
        <w:rPr>
          <w:rFonts w:ascii="HendersonSansW00-BasicLight" w:hAnsi="HendersonSansW00-BasicLight"/>
        </w:rPr>
        <w:t xml:space="preserve"> </w:t>
      </w:r>
      <w:r w:rsidR="009332D6">
        <w:rPr>
          <w:rFonts w:ascii="HendersonSansW00-BasicLight" w:hAnsi="HendersonSansW00-BasicLight"/>
        </w:rPr>
        <w:t>2</w:t>
      </w:r>
      <w:r w:rsidR="00DC4878" w:rsidRPr="00AD6029">
        <w:rPr>
          <w:rFonts w:ascii="HendersonSansW00-BasicLight" w:hAnsi="HendersonSansW00-BasicLight"/>
        </w:rPr>
        <w:t>,</w:t>
      </w:r>
      <w:r w:rsidR="000D75B0">
        <w:rPr>
          <w:rFonts w:ascii="HendersonSansW00-BasicLight" w:hAnsi="HendersonSansW00-BasicLight"/>
        </w:rPr>
        <w:t>5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881F43">
        <w:rPr>
          <w:rFonts w:ascii="HendersonSansW00-BasicLight" w:hAnsi="HendersonSansW00-BasicLight"/>
        </w:rPr>
        <w:t>agosto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A02D43">
        <w:rPr>
          <w:rFonts w:ascii="HendersonSansW00-BasicLight" w:hAnsi="HendersonSansW00-BasicLight"/>
        </w:rPr>
        <w:t>7</w:t>
      </w:r>
      <w:r w:rsidR="002128B6" w:rsidRPr="00AD6029">
        <w:rPr>
          <w:rFonts w:ascii="HendersonSansW00-BasicLight" w:hAnsi="HendersonSansW00-BasicLight"/>
        </w:rPr>
        <w:t>,</w:t>
      </w:r>
      <w:r w:rsidR="000D75B0">
        <w:rPr>
          <w:rFonts w:ascii="HendersonSansW00-BasicLight" w:hAnsi="HendersonSansW00-BasicLight"/>
        </w:rPr>
        <w:t>2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A02D43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9E6FF5">
        <w:rPr>
          <w:rFonts w:ascii="HendersonSansW00-BasicLight" w:hAnsi="HendersonSansW00-BasicLight"/>
        </w:rPr>
        <w:t>9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7AE0DDEE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9E6FF5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>,</w:t>
      </w:r>
      <w:r w:rsidR="009E6FF5">
        <w:rPr>
          <w:rFonts w:ascii="HendersonSansW00-BasicLight" w:hAnsi="HendersonSansW00-BasicLight"/>
        </w:rPr>
        <w:t>0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693B97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881F43">
        <w:rPr>
          <w:rFonts w:ascii="HendersonSansW00-BasicLight" w:hAnsi="HendersonSansW00-BasicLight"/>
        </w:rPr>
        <w:t>agosto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 xml:space="preserve">crece </w:t>
      </w:r>
      <w:r w:rsidR="00693B97">
        <w:rPr>
          <w:rFonts w:ascii="HendersonSansW00-BasicLight" w:hAnsi="HendersonSansW00-BasicLight"/>
        </w:rPr>
        <w:t>1</w:t>
      </w:r>
      <w:r w:rsidR="000237E8">
        <w:rPr>
          <w:rFonts w:ascii="HendersonSansW00-BasicLight" w:hAnsi="HendersonSansW00-BasicLight"/>
        </w:rPr>
        <w:t>,</w:t>
      </w:r>
      <w:r w:rsidR="00693B97">
        <w:rPr>
          <w:rFonts w:ascii="HendersonSansW00-BasicLight" w:hAnsi="HendersonSansW00-BasicLight"/>
        </w:rPr>
        <w:t>8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09C02A0B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706CAD">
        <w:rPr>
          <w:rFonts w:ascii="HendersonSansW00-BasicLight" w:hAnsi="HendersonSansW00-BasicLight"/>
        </w:rPr>
        <w:t>7</w:t>
      </w:r>
      <w:r w:rsidR="00082334" w:rsidRPr="00AD6029">
        <w:rPr>
          <w:rFonts w:ascii="HendersonSansW00-BasicLight" w:hAnsi="HendersonSansW00-BasicLight"/>
        </w:rPr>
        <w:t>,</w:t>
      </w:r>
      <w:r w:rsidR="00706CAD">
        <w:rPr>
          <w:rFonts w:ascii="HendersonSansW00-BasicLight" w:hAnsi="HendersonSansW00-BasicLight"/>
        </w:rPr>
        <w:t>7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881F43">
        <w:rPr>
          <w:rFonts w:ascii="HendersonSansW00-BasicLight" w:hAnsi="HendersonSansW00-BasicLight"/>
        </w:rPr>
        <w:t>agosto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3268AA">
        <w:rPr>
          <w:rFonts w:ascii="HendersonSansW00-BasicLight" w:hAnsi="HendersonSansW00-BasicLight"/>
        </w:rPr>
        <w:t>5</w:t>
      </w:r>
      <w:r w:rsidR="00087E32">
        <w:rPr>
          <w:rFonts w:ascii="HendersonSansW00-BasicLight" w:hAnsi="HendersonSansW00-BasicLight"/>
        </w:rPr>
        <w:t>,</w:t>
      </w:r>
      <w:r w:rsidR="003268AA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036B8F73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655F21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3268AA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3268AA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6861FD">
        <w:rPr>
          <w:rFonts w:ascii="HendersonSansW00-BasicLight" w:hAnsi="HendersonSansW00-BasicLight"/>
        </w:rPr>
        <w:t>6</w:t>
      </w:r>
      <w:r w:rsidR="002E4027">
        <w:rPr>
          <w:rFonts w:ascii="HendersonSansW00-BasicLight" w:hAnsi="HendersonSansW00-BasicLight"/>
        </w:rPr>
        <w:t>,</w:t>
      </w:r>
      <w:r w:rsidR="006861FD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881F43">
        <w:rPr>
          <w:rFonts w:ascii="HendersonSansW00-BasicLight" w:hAnsi="HendersonSansW00-BasicLight"/>
        </w:rPr>
        <w:t>agosto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1E74F58F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3F7E61">
        <w:rPr>
          <w:rFonts w:ascii="HendersonSansW00-BasicLight" w:hAnsi="HendersonSansW00-BasicLight"/>
        </w:rPr>
        <w:t>a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3F7E61">
        <w:rPr>
          <w:rFonts w:ascii="HendersonSansW00-BasicLight" w:hAnsi="HendersonSansW00-BasicLight"/>
        </w:rPr>
        <w:t>caída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E41E05">
        <w:rPr>
          <w:rFonts w:ascii="HendersonSansW00-BasicLight" w:hAnsi="HendersonSansW00-BasicLight"/>
        </w:rPr>
        <w:t>4</w:t>
      </w:r>
      <w:r w:rsidR="00F042C3">
        <w:rPr>
          <w:rFonts w:ascii="HendersonSansW00-BasicLight" w:hAnsi="HendersonSansW00-BasicLight"/>
        </w:rPr>
        <w:t>,</w:t>
      </w:r>
      <w:r w:rsidR="00E41E05">
        <w:rPr>
          <w:rFonts w:ascii="HendersonSansW00-BasicLight" w:hAnsi="HendersonSansW00-BasicLight"/>
        </w:rPr>
        <w:t>4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62D41">
        <w:rPr>
          <w:rFonts w:ascii="HendersonSansW00-BasicLight" w:hAnsi="HendersonSansW00-BasicLight"/>
        </w:rPr>
        <w:t>de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A6784A">
        <w:rPr>
          <w:rFonts w:ascii="HendersonSansW00-BasicLight" w:hAnsi="HendersonSansW00-BasicLight"/>
        </w:rPr>
        <w:t xml:space="preserve"> </w:t>
      </w:r>
      <w:r w:rsidR="00652F75">
        <w:rPr>
          <w:rFonts w:ascii="HendersonSansW00-BasicLight" w:hAnsi="HendersonSansW00-BasicLight"/>
        </w:rPr>
        <w:t>externo</w:t>
      </w:r>
      <w:r w:rsidR="00044D43">
        <w:rPr>
          <w:rFonts w:ascii="HendersonSansW00-BasicLight" w:hAnsi="HendersonSansW00-BasicLight"/>
        </w:rPr>
        <w:t xml:space="preserve">, así como </w:t>
      </w:r>
      <w:r w:rsidR="005A2965">
        <w:rPr>
          <w:rFonts w:ascii="HendersonSansW00-BasicLight" w:hAnsi="HendersonSansW00-BasicLight"/>
        </w:rPr>
        <w:t>la</w:t>
      </w:r>
      <w:r w:rsidR="00044D43">
        <w:rPr>
          <w:rFonts w:ascii="HendersonSansW00-BasicLight" w:hAnsi="HendersonSansW00-BasicLight"/>
        </w:rPr>
        <w:t xml:space="preserve"> partida</w:t>
      </w:r>
      <w:r w:rsidR="005A2965">
        <w:rPr>
          <w:rFonts w:ascii="HendersonSansW00-BasicLight" w:hAnsi="HendersonSansW00-BasicLight"/>
        </w:rPr>
        <w:t xml:space="preserve"> </w:t>
      </w:r>
      <w:r w:rsidR="00922D65">
        <w:rPr>
          <w:rFonts w:ascii="HendersonSansW00-BasicLight" w:hAnsi="HendersonSansW00-BasicLight"/>
        </w:rPr>
        <w:t>inversión</w:t>
      </w:r>
      <w:r w:rsidR="00F2124E">
        <w:rPr>
          <w:rFonts w:ascii="HendersonSansW00-BasicLight" w:hAnsi="HendersonSansW00-BasicLight"/>
        </w:rPr>
        <w:t>.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223667">
      <w:headerReference w:type="default" r:id="rId31"/>
      <w:footerReference w:type="default" r:id="rId32"/>
      <w:pgSz w:w="12240" w:h="15840" w:code="1"/>
      <w:pgMar w:top="1304" w:right="1134" w:bottom="1077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BB05" w14:textId="77777777" w:rsidR="00462302" w:rsidRDefault="00462302" w:rsidP="00F251C6">
      <w:pPr>
        <w:spacing w:after="0" w:line="240" w:lineRule="auto"/>
      </w:pPr>
      <w:r>
        <w:separator/>
      </w:r>
    </w:p>
  </w:endnote>
  <w:endnote w:type="continuationSeparator" w:id="0">
    <w:p w14:paraId="4D167772" w14:textId="77777777" w:rsidR="00462302" w:rsidRDefault="00462302" w:rsidP="00F251C6">
      <w:pPr>
        <w:spacing w:after="0" w:line="240" w:lineRule="auto"/>
      </w:pPr>
      <w:r>
        <w:continuationSeparator/>
      </w:r>
    </w:p>
  </w:endnote>
  <w:endnote w:type="continuationNotice" w:id="1">
    <w:p w14:paraId="4B173AFC" w14:textId="77777777" w:rsidR="00462302" w:rsidRDefault="00462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3B57" w14:textId="77777777" w:rsidR="00462302" w:rsidRDefault="00462302" w:rsidP="00F251C6">
      <w:pPr>
        <w:spacing w:after="0" w:line="240" w:lineRule="auto"/>
      </w:pPr>
      <w:r>
        <w:separator/>
      </w:r>
    </w:p>
  </w:footnote>
  <w:footnote w:type="continuationSeparator" w:id="0">
    <w:p w14:paraId="313FBF92" w14:textId="77777777" w:rsidR="00462302" w:rsidRDefault="00462302" w:rsidP="00F251C6">
      <w:pPr>
        <w:spacing w:after="0" w:line="240" w:lineRule="auto"/>
      </w:pPr>
      <w:r>
        <w:continuationSeparator/>
      </w:r>
    </w:p>
  </w:footnote>
  <w:footnote w:type="continuationNotice" w:id="1">
    <w:p w14:paraId="5A94D11E" w14:textId="77777777" w:rsidR="00462302" w:rsidRDefault="00462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0CF2D230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75368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a</w:t>
                          </w:r>
                          <w:r w:rsidR="00881F4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gosto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0CF2D230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75368B">
                      <w:rPr>
                        <w:color w:val="FFFFFF" w:themeColor="background1"/>
                        <w:sz w:val="28"/>
                        <w:szCs w:val="28"/>
                      </w:rPr>
                      <w:t>a</w:t>
                    </w:r>
                    <w:r w:rsidR="00881F43">
                      <w:rPr>
                        <w:color w:val="FFFFFF" w:themeColor="background1"/>
                        <w:sz w:val="28"/>
                        <w:szCs w:val="28"/>
                      </w:rPr>
                      <w:t>gosto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FB5"/>
    <w:rsid w:val="000113F3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210A3"/>
    <w:rsid w:val="0002147C"/>
    <w:rsid w:val="000225F4"/>
    <w:rsid w:val="0002281A"/>
    <w:rsid w:val="000237E8"/>
    <w:rsid w:val="00024562"/>
    <w:rsid w:val="00024C5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92B"/>
    <w:rsid w:val="000347EF"/>
    <w:rsid w:val="00034DD9"/>
    <w:rsid w:val="00035B67"/>
    <w:rsid w:val="00035D6D"/>
    <w:rsid w:val="00035ECF"/>
    <w:rsid w:val="00036208"/>
    <w:rsid w:val="00036527"/>
    <w:rsid w:val="000365D7"/>
    <w:rsid w:val="00036D85"/>
    <w:rsid w:val="000376AC"/>
    <w:rsid w:val="00037BAD"/>
    <w:rsid w:val="00042071"/>
    <w:rsid w:val="00042CFC"/>
    <w:rsid w:val="000435CC"/>
    <w:rsid w:val="00043BBD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82A"/>
    <w:rsid w:val="000549E2"/>
    <w:rsid w:val="00055D7B"/>
    <w:rsid w:val="00056156"/>
    <w:rsid w:val="00056263"/>
    <w:rsid w:val="0005630E"/>
    <w:rsid w:val="00060753"/>
    <w:rsid w:val="00061CBC"/>
    <w:rsid w:val="00062797"/>
    <w:rsid w:val="000628D1"/>
    <w:rsid w:val="00062FDD"/>
    <w:rsid w:val="00064750"/>
    <w:rsid w:val="0006562B"/>
    <w:rsid w:val="00065633"/>
    <w:rsid w:val="000657B3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8D7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6409"/>
    <w:rsid w:val="0009767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CCC"/>
    <w:rsid w:val="000B6DCC"/>
    <w:rsid w:val="000B786A"/>
    <w:rsid w:val="000C0002"/>
    <w:rsid w:val="000C0CB2"/>
    <w:rsid w:val="000C152F"/>
    <w:rsid w:val="000C2BEA"/>
    <w:rsid w:val="000C2C59"/>
    <w:rsid w:val="000C3667"/>
    <w:rsid w:val="000C43A5"/>
    <w:rsid w:val="000C443F"/>
    <w:rsid w:val="000C480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64D3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7BD2"/>
    <w:rsid w:val="000F2F5B"/>
    <w:rsid w:val="000F48BF"/>
    <w:rsid w:val="000F4CAE"/>
    <w:rsid w:val="000F6579"/>
    <w:rsid w:val="000F78AE"/>
    <w:rsid w:val="001001F0"/>
    <w:rsid w:val="001016A7"/>
    <w:rsid w:val="00101A03"/>
    <w:rsid w:val="00101DAC"/>
    <w:rsid w:val="00104417"/>
    <w:rsid w:val="00105906"/>
    <w:rsid w:val="00105D23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EAA"/>
    <w:rsid w:val="001364F9"/>
    <w:rsid w:val="0013658A"/>
    <w:rsid w:val="00137D74"/>
    <w:rsid w:val="001400CE"/>
    <w:rsid w:val="00140301"/>
    <w:rsid w:val="00142341"/>
    <w:rsid w:val="00143112"/>
    <w:rsid w:val="001440DC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34DA"/>
    <w:rsid w:val="00163A49"/>
    <w:rsid w:val="00164B4F"/>
    <w:rsid w:val="001656C7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E38"/>
    <w:rsid w:val="00177F6C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D99"/>
    <w:rsid w:val="001B1E33"/>
    <w:rsid w:val="001B244E"/>
    <w:rsid w:val="001B433D"/>
    <w:rsid w:val="001B48FC"/>
    <w:rsid w:val="001B5616"/>
    <w:rsid w:val="001B58DE"/>
    <w:rsid w:val="001B704E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7C90"/>
    <w:rsid w:val="001D1511"/>
    <w:rsid w:val="001D1B2F"/>
    <w:rsid w:val="001D1F9D"/>
    <w:rsid w:val="001D2C00"/>
    <w:rsid w:val="001D2FE3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C03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2063C"/>
    <w:rsid w:val="00220740"/>
    <w:rsid w:val="00220CFE"/>
    <w:rsid w:val="0022140A"/>
    <w:rsid w:val="00223045"/>
    <w:rsid w:val="00223667"/>
    <w:rsid w:val="00224972"/>
    <w:rsid w:val="00225E0E"/>
    <w:rsid w:val="002267C8"/>
    <w:rsid w:val="0022749E"/>
    <w:rsid w:val="00227837"/>
    <w:rsid w:val="00230C6A"/>
    <w:rsid w:val="00230EA8"/>
    <w:rsid w:val="00231440"/>
    <w:rsid w:val="00233543"/>
    <w:rsid w:val="0023403C"/>
    <w:rsid w:val="00234808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3ABE"/>
    <w:rsid w:val="002441BB"/>
    <w:rsid w:val="00245293"/>
    <w:rsid w:val="00245B47"/>
    <w:rsid w:val="002469E3"/>
    <w:rsid w:val="00246C9E"/>
    <w:rsid w:val="00246EFF"/>
    <w:rsid w:val="00247276"/>
    <w:rsid w:val="00247396"/>
    <w:rsid w:val="0024772A"/>
    <w:rsid w:val="002478CC"/>
    <w:rsid w:val="00250549"/>
    <w:rsid w:val="0025081E"/>
    <w:rsid w:val="00250CAB"/>
    <w:rsid w:val="00251AF1"/>
    <w:rsid w:val="0025229C"/>
    <w:rsid w:val="00252ABA"/>
    <w:rsid w:val="00252ACB"/>
    <w:rsid w:val="00252FF3"/>
    <w:rsid w:val="00253CD9"/>
    <w:rsid w:val="00254787"/>
    <w:rsid w:val="002547D9"/>
    <w:rsid w:val="002559F2"/>
    <w:rsid w:val="002560E0"/>
    <w:rsid w:val="00256E40"/>
    <w:rsid w:val="002570D5"/>
    <w:rsid w:val="002572D9"/>
    <w:rsid w:val="00257ABD"/>
    <w:rsid w:val="00260125"/>
    <w:rsid w:val="00260A99"/>
    <w:rsid w:val="00260BA1"/>
    <w:rsid w:val="00260F9A"/>
    <w:rsid w:val="00260FA5"/>
    <w:rsid w:val="0026160C"/>
    <w:rsid w:val="00261C3E"/>
    <w:rsid w:val="002621B5"/>
    <w:rsid w:val="002624F6"/>
    <w:rsid w:val="002628D2"/>
    <w:rsid w:val="00262B44"/>
    <w:rsid w:val="00262EBF"/>
    <w:rsid w:val="0026351E"/>
    <w:rsid w:val="0026535D"/>
    <w:rsid w:val="00265725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34CC"/>
    <w:rsid w:val="00283559"/>
    <w:rsid w:val="00284866"/>
    <w:rsid w:val="00284942"/>
    <w:rsid w:val="00285959"/>
    <w:rsid w:val="002867AA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54B0"/>
    <w:rsid w:val="002A5A70"/>
    <w:rsid w:val="002A5C8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2DCE"/>
    <w:rsid w:val="002D39FC"/>
    <w:rsid w:val="002D44E6"/>
    <w:rsid w:val="002D4E51"/>
    <w:rsid w:val="002D6392"/>
    <w:rsid w:val="002D7593"/>
    <w:rsid w:val="002D7601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9D"/>
    <w:rsid w:val="002F1650"/>
    <w:rsid w:val="002F309B"/>
    <w:rsid w:val="002F3E3A"/>
    <w:rsid w:val="002F4E32"/>
    <w:rsid w:val="002F4E9E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C78"/>
    <w:rsid w:val="003113B5"/>
    <w:rsid w:val="00312256"/>
    <w:rsid w:val="00313153"/>
    <w:rsid w:val="003134D6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4C3"/>
    <w:rsid w:val="0032393D"/>
    <w:rsid w:val="00324145"/>
    <w:rsid w:val="00324454"/>
    <w:rsid w:val="0032447C"/>
    <w:rsid w:val="0032465B"/>
    <w:rsid w:val="00325EC0"/>
    <w:rsid w:val="003268AA"/>
    <w:rsid w:val="00330982"/>
    <w:rsid w:val="00331417"/>
    <w:rsid w:val="00331B6C"/>
    <w:rsid w:val="003331A1"/>
    <w:rsid w:val="0033492A"/>
    <w:rsid w:val="00334C3D"/>
    <w:rsid w:val="00334F9E"/>
    <w:rsid w:val="003352CA"/>
    <w:rsid w:val="00335DAD"/>
    <w:rsid w:val="00335E3B"/>
    <w:rsid w:val="00336E1C"/>
    <w:rsid w:val="00337095"/>
    <w:rsid w:val="003374F0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545F"/>
    <w:rsid w:val="00355A7E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71"/>
    <w:rsid w:val="00386249"/>
    <w:rsid w:val="00386C10"/>
    <w:rsid w:val="003902B6"/>
    <w:rsid w:val="0039050A"/>
    <w:rsid w:val="00391AE3"/>
    <w:rsid w:val="00391C38"/>
    <w:rsid w:val="00392EB1"/>
    <w:rsid w:val="0039308F"/>
    <w:rsid w:val="00393D9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941"/>
    <w:rsid w:val="003A23AA"/>
    <w:rsid w:val="003A2602"/>
    <w:rsid w:val="003A308D"/>
    <w:rsid w:val="003A3998"/>
    <w:rsid w:val="003B0D5E"/>
    <w:rsid w:val="003B0FB4"/>
    <w:rsid w:val="003B130C"/>
    <w:rsid w:val="003B24FB"/>
    <w:rsid w:val="003B2667"/>
    <w:rsid w:val="003B33B6"/>
    <w:rsid w:val="003B3CB6"/>
    <w:rsid w:val="003B3F6C"/>
    <w:rsid w:val="003B490A"/>
    <w:rsid w:val="003B4BAF"/>
    <w:rsid w:val="003B5C87"/>
    <w:rsid w:val="003B6985"/>
    <w:rsid w:val="003B74C4"/>
    <w:rsid w:val="003C029F"/>
    <w:rsid w:val="003C0F60"/>
    <w:rsid w:val="003C2243"/>
    <w:rsid w:val="003C2C2C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51F3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6D56"/>
    <w:rsid w:val="003E76C7"/>
    <w:rsid w:val="003E78A9"/>
    <w:rsid w:val="003E7C56"/>
    <w:rsid w:val="003F08D2"/>
    <w:rsid w:val="003F138C"/>
    <w:rsid w:val="003F1C56"/>
    <w:rsid w:val="003F1E2F"/>
    <w:rsid w:val="003F2A52"/>
    <w:rsid w:val="003F2A85"/>
    <w:rsid w:val="003F3248"/>
    <w:rsid w:val="003F38B8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BF4"/>
    <w:rsid w:val="0040405E"/>
    <w:rsid w:val="00404D8F"/>
    <w:rsid w:val="00405EBB"/>
    <w:rsid w:val="00405F60"/>
    <w:rsid w:val="004066FA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5AF"/>
    <w:rsid w:val="0042380E"/>
    <w:rsid w:val="00423B26"/>
    <w:rsid w:val="00423C07"/>
    <w:rsid w:val="004241BE"/>
    <w:rsid w:val="004252BD"/>
    <w:rsid w:val="00425FBF"/>
    <w:rsid w:val="00431612"/>
    <w:rsid w:val="00431C63"/>
    <w:rsid w:val="0043276F"/>
    <w:rsid w:val="004327B6"/>
    <w:rsid w:val="004353F5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BAA"/>
    <w:rsid w:val="00457335"/>
    <w:rsid w:val="00460168"/>
    <w:rsid w:val="0046071C"/>
    <w:rsid w:val="00460BD8"/>
    <w:rsid w:val="00460D6B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4E3"/>
    <w:rsid w:val="004671B8"/>
    <w:rsid w:val="00467409"/>
    <w:rsid w:val="0046749E"/>
    <w:rsid w:val="00472421"/>
    <w:rsid w:val="00472612"/>
    <w:rsid w:val="00473339"/>
    <w:rsid w:val="004743DF"/>
    <w:rsid w:val="0047469B"/>
    <w:rsid w:val="00474892"/>
    <w:rsid w:val="0047499D"/>
    <w:rsid w:val="004776E1"/>
    <w:rsid w:val="004801D5"/>
    <w:rsid w:val="0048044A"/>
    <w:rsid w:val="0048078F"/>
    <w:rsid w:val="00480CB4"/>
    <w:rsid w:val="00481391"/>
    <w:rsid w:val="00482C7B"/>
    <w:rsid w:val="00483A1E"/>
    <w:rsid w:val="00483B42"/>
    <w:rsid w:val="00483CD2"/>
    <w:rsid w:val="004844E4"/>
    <w:rsid w:val="00484E55"/>
    <w:rsid w:val="00485273"/>
    <w:rsid w:val="0048784D"/>
    <w:rsid w:val="00487D56"/>
    <w:rsid w:val="00487EA9"/>
    <w:rsid w:val="0049269F"/>
    <w:rsid w:val="004928B6"/>
    <w:rsid w:val="00494444"/>
    <w:rsid w:val="004971DE"/>
    <w:rsid w:val="004975E1"/>
    <w:rsid w:val="004975F4"/>
    <w:rsid w:val="00497651"/>
    <w:rsid w:val="004A02B4"/>
    <w:rsid w:val="004A080D"/>
    <w:rsid w:val="004A1687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7B0"/>
    <w:rsid w:val="004D09F8"/>
    <w:rsid w:val="004D0D2A"/>
    <w:rsid w:val="004D1B62"/>
    <w:rsid w:val="004D1D3E"/>
    <w:rsid w:val="004D20CF"/>
    <w:rsid w:val="004D2E2B"/>
    <w:rsid w:val="004D32CA"/>
    <w:rsid w:val="004D50E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E83"/>
    <w:rsid w:val="004F5437"/>
    <w:rsid w:val="004F573B"/>
    <w:rsid w:val="004F7194"/>
    <w:rsid w:val="004F72F6"/>
    <w:rsid w:val="004F7797"/>
    <w:rsid w:val="004F77EA"/>
    <w:rsid w:val="004F7C48"/>
    <w:rsid w:val="004F7E97"/>
    <w:rsid w:val="0050024C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9E9"/>
    <w:rsid w:val="005119F6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2597"/>
    <w:rsid w:val="005331B7"/>
    <w:rsid w:val="005331C1"/>
    <w:rsid w:val="0053492D"/>
    <w:rsid w:val="00535BEE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4B10"/>
    <w:rsid w:val="00554FB5"/>
    <w:rsid w:val="005558F6"/>
    <w:rsid w:val="00555B14"/>
    <w:rsid w:val="005570B6"/>
    <w:rsid w:val="00562878"/>
    <w:rsid w:val="005631AC"/>
    <w:rsid w:val="005657FE"/>
    <w:rsid w:val="00565B5B"/>
    <w:rsid w:val="00566347"/>
    <w:rsid w:val="005665A2"/>
    <w:rsid w:val="005665CD"/>
    <w:rsid w:val="005668D0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D94"/>
    <w:rsid w:val="005811DD"/>
    <w:rsid w:val="00581749"/>
    <w:rsid w:val="00581895"/>
    <w:rsid w:val="00581B19"/>
    <w:rsid w:val="00581DA1"/>
    <w:rsid w:val="00581DE8"/>
    <w:rsid w:val="00582811"/>
    <w:rsid w:val="00583E7A"/>
    <w:rsid w:val="00584A6C"/>
    <w:rsid w:val="00585558"/>
    <w:rsid w:val="0058688C"/>
    <w:rsid w:val="005879AB"/>
    <w:rsid w:val="00590000"/>
    <w:rsid w:val="00590317"/>
    <w:rsid w:val="0059084D"/>
    <w:rsid w:val="00592923"/>
    <w:rsid w:val="005937D8"/>
    <w:rsid w:val="00594AA8"/>
    <w:rsid w:val="00594D78"/>
    <w:rsid w:val="00594EF2"/>
    <w:rsid w:val="005957C6"/>
    <w:rsid w:val="0059599F"/>
    <w:rsid w:val="00595FDC"/>
    <w:rsid w:val="00597C42"/>
    <w:rsid w:val="005A00D3"/>
    <w:rsid w:val="005A0472"/>
    <w:rsid w:val="005A083D"/>
    <w:rsid w:val="005A0E1B"/>
    <w:rsid w:val="005A1639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D7"/>
    <w:rsid w:val="005B2434"/>
    <w:rsid w:val="005B2E3B"/>
    <w:rsid w:val="005B3B9A"/>
    <w:rsid w:val="005B3E0E"/>
    <w:rsid w:val="005B3FAA"/>
    <w:rsid w:val="005B5F86"/>
    <w:rsid w:val="005B721A"/>
    <w:rsid w:val="005C0D80"/>
    <w:rsid w:val="005C1192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B5C"/>
    <w:rsid w:val="005D354F"/>
    <w:rsid w:val="005D465E"/>
    <w:rsid w:val="005D6100"/>
    <w:rsid w:val="005D620C"/>
    <w:rsid w:val="005D6561"/>
    <w:rsid w:val="005D7386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35DB"/>
    <w:rsid w:val="005F36F3"/>
    <w:rsid w:val="005F52C7"/>
    <w:rsid w:val="005F5461"/>
    <w:rsid w:val="005F5B9B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F6D"/>
    <w:rsid w:val="006042B8"/>
    <w:rsid w:val="00604588"/>
    <w:rsid w:val="0060476B"/>
    <w:rsid w:val="0060515F"/>
    <w:rsid w:val="0060617D"/>
    <w:rsid w:val="00607322"/>
    <w:rsid w:val="00607C4D"/>
    <w:rsid w:val="00607CD9"/>
    <w:rsid w:val="00610BA1"/>
    <w:rsid w:val="00610D79"/>
    <w:rsid w:val="006117E5"/>
    <w:rsid w:val="00611FAB"/>
    <w:rsid w:val="00612670"/>
    <w:rsid w:val="00612A3C"/>
    <w:rsid w:val="00612DD6"/>
    <w:rsid w:val="00615AE2"/>
    <w:rsid w:val="00615C53"/>
    <w:rsid w:val="006204AC"/>
    <w:rsid w:val="006208DC"/>
    <w:rsid w:val="006210A6"/>
    <w:rsid w:val="006217C1"/>
    <w:rsid w:val="0062222D"/>
    <w:rsid w:val="006228D8"/>
    <w:rsid w:val="00622A06"/>
    <w:rsid w:val="00622CF6"/>
    <w:rsid w:val="00623402"/>
    <w:rsid w:val="006249BA"/>
    <w:rsid w:val="00624E1B"/>
    <w:rsid w:val="00626900"/>
    <w:rsid w:val="006279D7"/>
    <w:rsid w:val="00630DCC"/>
    <w:rsid w:val="00630E62"/>
    <w:rsid w:val="0063405D"/>
    <w:rsid w:val="00634B06"/>
    <w:rsid w:val="00634F32"/>
    <w:rsid w:val="006350BE"/>
    <w:rsid w:val="00641640"/>
    <w:rsid w:val="00641F6F"/>
    <w:rsid w:val="006423C0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5BE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674"/>
    <w:rsid w:val="00667813"/>
    <w:rsid w:val="0067032A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CE"/>
    <w:rsid w:val="006A7221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1BD9"/>
    <w:rsid w:val="006D2B16"/>
    <w:rsid w:val="006D2F74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2285"/>
    <w:rsid w:val="0070246D"/>
    <w:rsid w:val="00702AC7"/>
    <w:rsid w:val="007032B0"/>
    <w:rsid w:val="00705271"/>
    <w:rsid w:val="00705E1B"/>
    <w:rsid w:val="007069C2"/>
    <w:rsid w:val="00706CAD"/>
    <w:rsid w:val="00706EA7"/>
    <w:rsid w:val="0070726E"/>
    <w:rsid w:val="007104CB"/>
    <w:rsid w:val="007105C3"/>
    <w:rsid w:val="007120CF"/>
    <w:rsid w:val="007127C3"/>
    <w:rsid w:val="00712AC8"/>
    <w:rsid w:val="00713325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F25"/>
    <w:rsid w:val="0075011A"/>
    <w:rsid w:val="00750394"/>
    <w:rsid w:val="007503AE"/>
    <w:rsid w:val="007505F1"/>
    <w:rsid w:val="00750B9E"/>
    <w:rsid w:val="00751582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3304"/>
    <w:rsid w:val="007650F8"/>
    <w:rsid w:val="00765385"/>
    <w:rsid w:val="00765FA4"/>
    <w:rsid w:val="007661DE"/>
    <w:rsid w:val="00766894"/>
    <w:rsid w:val="0076691C"/>
    <w:rsid w:val="00766FC2"/>
    <w:rsid w:val="0076753C"/>
    <w:rsid w:val="00767B41"/>
    <w:rsid w:val="007700F5"/>
    <w:rsid w:val="00770B36"/>
    <w:rsid w:val="00771DC8"/>
    <w:rsid w:val="0077484F"/>
    <w:rsid w:val="007752DD"/>
    <w:rsid w:val="00776568"/>
    <w:rsid w:val="00780DFE"/>
    <w:rsid w:val="00782EC1"/>
    <w:rsid w:val="00784176"/>
    <w:rsid w:val="0078535D"/>
    <w:rsid w:val="00785C98"/>
    <w:rsid w:val="007863F2"/>
    <w:rsid w:val="00786A13"/>
    <w:rsid w:val="00787523"/>
    <w:rsid w:val="00787A17"/>
    <w:rsid w:val="00787B75"/>
    <w:rsid w:val="00790518"/>
    <w:rsid w:val="00790600"/>
    <w:rsid w:val="00790E48"/>
    <w:rsid w:val="00790F44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7F2"/>
    <w:rsid w:val="007A3058"/>
    <w:rsid w:val="007A31DD"/>
    <w:rsid w:val="007A4133"/>
    <w:rsid w:val="007A4516"/>
    <w:rsid w:val="007A4E12"/>
    <w:rsid w:val="007A598F"/>
    <w:rsid w:val="007A5A6E"/>
    <w:rsid w:val="007A65EB"/>
    <w:rsid w:val="007A7683"/>
    <w:rsid w:val="007B0894"/>
    <w:rsid w:val="007B33E8"/>
    <w:rsid w:val="007B34F3"/>
    <w:rsid w:val="007B36A7"/>
    <w:rsid w:val="007B3DDA"/>
    <w:rsid w:val="007B4A3C"/>
    <w:rsid w:val="007B6A09"/>
    <w:rsid w:val="007B724B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FBB"/>
    <w:rsid w:val="007D79F7"/>
    <w:rsid w:val="007D7E48"/>
    <w:rsid w:val="007E0936"/>
    <w:rsid w:val="007E3E16"/>
    <w:rsid w:val="007E452F"/>
    <w:rsid w:val="007E48E7"/>
    <w:rsid w:val="007E4F0B"/>
    <w:rsid w:val="007E5024"/>
    <w:rsid w:val="007E5E99"/>
    <w:rsid w:val="007E5EAB"/>
    <w:rsid w:val="007E6A88"/>
    <w:rsid w:val="007E6B96"/>
    <w:rsid w:val="007E6D44"/>
    <w:rsid w:val="007F0337"/>
    <w:rsid w:val="007F03A6"/>
    <w:rsid w:val="007F0790"/>
    <w:rsid w:val="007F15B2"/>
    <w:rsid w:val="007F1F4F"/>
    <w:rsid w:val="007F1F57"/>
    <w:rsid w:val="007F2D46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583"/>
    <w:rsid w:val="00840ACA"/>
    <w:rsid w:val="00842919"/>
    <w:rsid w:val="0084296C"/>
    <w:rsid w:val="00842F0A"/>
    <w:rsid w:val="0084331C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486"/>
    <w:rsid w:val="00873E04"/>
    <w:rsid w:val="00875027"/>
    <w:rsid w:val="0087680E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5B92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7B2"/>
    <w:rsid w:val="008A6F3F"/>
    <w:rsid w:val="008A6F5C"/>
    <w:rsid w:val="008A7E43"/>
    <w:rsid w:val="008B0CB2"/>
    <w:rsid w:val="008B0D0F"/>
    <w:rsid w:val="008B2C48"/>
    <w:rsid w:val="008B3E13"/>
    <w:rsid w:val="008B4333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8C7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1B76"/>
    <w:rsid w:val="008E1D58"/>
    <w:rsid w:val="008E2348"/>
    <w:rsid w:val="008E358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2244"/>
    <w:rsid w:val="00922551"/>
    <w:rsid w:val="00922D65"/>
    <w:rsid w:val="0092328B"/>
    <w:rsid w:val="00924243"/>
    <w:rsid w:val="0092462D"/>
    <w:rsid w:val="00925CF3"/>
    <w:rsid w:val="00926246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40CC"/>
    <w:rsid w:val="00934D87"/>
    <w:rsid w:val="00935934"/>
    <w:rsid w:val="009368DC"/>
    <w:rsid w:val="00937271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504FB"/>
    <w:rsid w:val="00950961"/>
    <w:rsid w:val="00950BA3"/>
    <w:rsid w:val="00951BF5"/>
    <w:rsid w:val="009534A8"/>
    <w:rsid w:val="0095376D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218A"/>
    <w:rsid w:val="009921E7"/>
    <w:rsid w:val="0099237F"/>
    <w:rsid w:val="00992DAF"/>
    <w:rsid w:val="0099694D"/>
    <w:rsid w:val="00996F25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63A"/>
    <w:rsid w:val="009B5CCE"/>
    <w:rsid w:val="009B5CF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EB"/>
    <w:rsid w:val="009E22A6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7BC"/>
    <w:rsid w:val="009E6A5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9CB"/>
    <w:rsid w:val="00A02C86"/>
    <w:rsid w:val="00A02D43"/>
    <w:rsid w:val="00A03E45"/>
    <w:rsid w:val="00A0436D"/>
    <w:rsid w:val="00A0481F"/>
    <w:rsid w:val="00A05AFA"/>
    <w:rsid w:val="00A06930"/>
    <w:rsid w:val="00A07693"/>
    <w:rsid w:val="00A10282"/>
    <w:rsid w:val="00A112D2"/>
    <w:rsid w:val="00A11BB7"/>
    <w:rsid w:val="00A11C26"/>
    <w:rsid w:val="00A1200C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BA1"/>
    <w:rsid w:val="00A20C80"/>
    <w:rsid w:val="00A21472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3724"/>
    <w:rsid w:val="00A33809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37B5"/>
    <w:rsid w:val="00A43A2D"/>
    <w:rsid w:val="00A45A50"/>
    <w:rsid w:val="00A45C66"/>
    <w:rsid w:val="00A45C91"/>
    <w:rsid w:val="00A45D30"/>
    <w:rsid w:val="00A461FF"/>
    <w:rsid w:val="00A46C4A"/>
    <w:rsid w:val="00A4751A"/>
    <w:rsid w:val="00A47B02"/>
    <w:rsid w:val="00A50412"/>
    <w:rsid w:val="00A513D3"/>
    <w:rsid w:val="00A5227A"/>
    <w:rsid w:val="00A52B2B"/>
    <w:rsid w:val="00A53018"/>
    <w:rsid w:val="00A54935"/>
    <w:rsid w:val="00A55F92"/>
    <w:rsid w:val="00A56DFA"/>
    <w:rsid w:val="00A5707D"/>
    <w:rsid w:val="00A601B1"/>
    <w:rsid w:val="00A602D2"/>
    <w:rsid w:val="00A620EA"/>
    <w:rsid w:val="00A630C5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47B6"/>
    <w:rsid w:val="00A94F14"/>
    <w:rsid w:val="00A95D54"/>
    <w:rsid w:val="00A967DA"/>
    <w:rsid w:val="00A97822"/>
    <w:rsid w:val="00AA0619"/>
    <w:rsid w:val="00AA0772"/>
    <w:rsid w:val="00AA0AA8"/>
    <w:rsid w:val="00AA131B"/>
    <w:rsid w:val="00AA1338"/>
    <w:rsid w:val="00AA1C80"/>
    <w:rsid w:val="00AA1F44"/>
    <w:rsid w:val="00AA20A1"/>
    <w:rsid w:val="00AA359E"/>
    <w:rsid w:val="00AA3F95"/>
    <w:rsid w:val="00AA4787"/>
    <w:rsid w:val="00AA4BF3"/>
    <w:rsid w:val="00AA5579"/>
    <w:rsid w:val="00AA632F"/>
    <w:rsid w:val="00AA7C70"/>
    <w:rsid w:val="00AB1438"/>
    <w:rsid w:val="00AB14DE"/>
    <w:rsid w:val="00AB1BE0"/>
    <w:rsid w:val="00AB2045"/>
    <w:rsid w:val="00AB23FD"/>
    <w:rsid w:val="00AB28CB"/>
    <w:rsid w:val="00AB33F7"/>
    <w:rsid w:val="00AB4457"/>
    <w:rsid w:val="00AB6CF9"/>
    <w:rsid w:val="00AB6D6D"/>
    <w:rsid w:val="00AC25D0"/>
    <w:rsid w:val="00AC4F85"/>
    <w:rsid w:val="00AC5A13"/>
    <w:rsid w:val="00AC6011"/>
    <w:rsid w:val="00AC6199"/>
    <w:rsid w:val="00AC6222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15D9"/>
    <w:rsid w:val="00AE31DA"/>
    <w:rsid w:val="00AE44C7"/>
    <w:rsid w:val="00AE481A"/>
    <w:rsid w:val="00AE5486"/>
    <w:rsid w:val="00AE555F"/>
    <w:rsid w:val="00AE5E7D"/>
    <w:rsid w:val="00AF01D3"/>
    <w:rsid w:val="00AF2723"/>
    <w:rsid w:val="00AF31DD"/>
    <w:rsid w:val="00AF3DE8"/>
    <w:rsid w:val="00AF3E69"/>
    <w:rsid w:val="00AF4180"/>
    <w:rsid w:val="00AF4296"/>
    <w:rsid w:val="00AF54D3"/>
    <w:rsid w:val="00AF75C6"/>
    <w:rsid w:val="00B001FB"/>
    <w:rsid w:val="00B00973"/>
    <w:rsid w:val="00B017CC"/>
    <w:rsid w:val="00B022EF"/>
    <w:rsid w:val="00B0273B"/>
    <w:rsid w:val="00B0291C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B3C"/>
    <w:rsid w:val="00B13B54"/>
    <w:rsid w:val="00B13FF0"/>
    <w:rsid w:val="00B159B4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31072"/>
    <w:rsid w:val="00B313DE"/>
    <w:rsid w:val="00B3220D"/>
    <w:rsid w:val="00B3240C"/>
    <w:rsid w:val="00B3242A"/>
    <w:rsid w:val="00B34ACB"/>
    <w:rsid w:val="00B350EC"/>
    <w:rsid w:val="00B35582"/>
    <w:rsid w:val="00B36690"/>
    <w:rsid w:val="00B374D8"/>
    <w:rsid w:val="00B37E11"/>
    <w:rsid w:val="00B40913"/>
    <w:rsid w:val="00B40F66"/>
    <w:rsid w:val="00B417B3"/>
    <w:rsid w:val="00B42551"/>
    <w:rsid w:val="00B42904"/>
    <w:rsid w:val="00B43A81"/>
    <w:rsid w:val="00B43F1C"/>
    <w:rsid w:val="00B44C96"/>
    <w:rsid w:val="00B47607"/>
    <w:rsid w:val="00B478FA"/>
    <w:rsid w:val="00B5029C"/>
    <w:rsid w:val="00B503AB"/>
    <w:rsid w:val="00B516D5"/>
    <w:rsid w:val="00B51DCF"/>
    <w:rsid w:val="00B537EE"/>
    <w:rsid w:val="00B53B14"/>
    <w:rsid w:val="00B550DD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283C"/>
    <w:rsid w:val="00B63AEF"/>
    <w:rsid w:val="00B6423D"/>
    <w:rsid w:val="00B64624"/>
    <w:rsid w:val="00B64CAA"/>
    <w:rsid w:val="00B650FD"/>
    <w:rsid w:val="00B67844"/>
    <w:rsid w:val="00B71E1A"/>
    <w:rsid w:val="00B72026"/>
    <w:rsid w:val="00B73FBB"/>
    <w:rsid w:val="00B743F0"/>
    <w:rsid w:val="00B74ABB"/>
    <w:rsid w:val="00B75A11"/>
    <w:rsid w:val="00B76388"/>
    <w:rsid w:val="00B76591"/>
    <w:rsid w:val="00B76A9D"/>
    <w:rsid w:val="00B76D98"/>
    <w:rsid w:val="00B77430"/>
    <w:rsid w:val="00B77460"/>
    <w:rsid w:val="00B800B0"/>
    <w:rsid w:val="00B80291"/>
    <w:rsid w:val="00B80D4F"/>
    <w:rsid w:val="00B81C37"/>
    <w:rsid w:val="00B834DD"/>
    <w:rsid w:val="00B839AC"/>
    <w:rsid w:val="00B84A12"/>
    <w:rsid w:val="00B84CC7"/>
    <w:rsid w:val="00B84E9D"/>
    <w:rsid w:val="00B84FB7"/>
    <w:rsid w:val="00B901B0"/>
    <w:rsid w:val="00B90632"/>
    <w:rsid w:val="00B906F6"/>
    <w:rsid w:val="00B910F2"/>
    <w:rsid w:val="00B91BBF"/>
    <w:rsid w:val="00B91E90"/>
    <w:rsid w:val="00B920B0"/>
    <w:rsid w:val="00B92823"/>
    <w:rsid w:val="00B92C98"/>
    <w:rsid w:val="00B931E8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156E"/>
    <w:rsid w:val="00BA1BBB"/>
    <w:rsid w:val="00BA2727"/>
    <w:rsid w:val="00BA38D8"/>
    <w:rsid w:val="00BA3A74"/>
    <w:rsid w:val="00BA3B56"/>
    <w:rsid w:val="00BA41FD"/>
    <w:rsid w:val="00BA46D7"/>
    <w:rsid w:val="00BA5D53"/>
    <w:rsid w:val="00BA6853"/>
    <w:rsid w:val="00BA6E8C"/>
    <w:rsid w:val="00BA7CBB"/>
    <w:rsid w:val="00BB10E6"/>
    <w:rsid w:val="00BB1809"/>
    <w:rsid w:val="00BB21AC"/>
    <w:rsid w:val="00BB26F3"/>
    <w:rsid w:val="00BB3184"/>
    <w:rsid w:val="00BB4B47"/>
    <w:rsid w:val="00BB4C34"/>
    <w:rsid w:val="00BB60CB"/>
    <w:rsid w:val="00BB6474"/>
    <w:rsid w:val="00BB67B4"/>
    <w:rsid w:val="00BB7CC4"/>
    <w:rsid w:val="00BB7E68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E1D"/>
    <w:rsid w:val="00BC4FD1"/>
    <w:rsid w:val="00BC6173"/>
    <w:rsid w:val="00BC6337"/>
    <w:rsid w:val="00BC70A8"/>
    <w:rsid w:val="00BC7989"/>
    <w:rsid w:val="00BD04EB"/>
    <w:rsid w:val="00BD1B32"/>
    <w:rsid w:val="00BD1DE2"/>
    <w:rsid w:val="00BD2029"/>
    <w:rsid w:val="00BD2576"/>
    <w:rsid w:val="00BD29BE"/>
    <w:rsid w:val="00BD2CAD"/>
    <w:rsid w:val="00BD3413"/>
    <w:rsid w:val="00BD4180"/>
    <w:rsid w:val="00BD4226"/>
    <w:rsid w:val="00BD4B7F"/>
    <w:rsid w:val="00BD5461"/>
    <w:rsid w:val="00BD5C82"/>
    <w:rsid w:val="00BD5D51"/>
    <w:rsid w:val="00BD670E"/>
    <w:rsid w:val="00BD6C30"/>
    <w:rsid w:val="00BD6DA9"/>
    <w:rsid w:val="00BD715C"/>
    <w:rsid w:val="00BD7DFC"/>
    <w:rsid w:val="00BE0361"/>
    <w:rsid w:val="00BE03D7"/>
    <w:rsid w:val="00BE03E4"/>
    <w:rsid w:val="00BE0659"/>
    <w:rsid w:val="00BE0B23"/>
    <w:rsid w:val="00BE0D90"/>
    <w:rsid w:val="00BE0F94"/>
    <w:rsid w:val="00BE1672"/>
    <w:rsid w:val="00BE1876"/>
    <w:rsid w:val="00BE188D"/>
    <w:rsid w:val="00BE30DA"/>
    <w:rsid w:val="00BE4ADE"/>
    <w:rsid w:val="00BE69D4"/>
    <w:rsid w:val="00BF1C27"/>
    <w:rsid w:val="00BF271C"/>
    <w:rsid w:val="00BF2C35"/>
    <w:rsid w:val="00BF38B1"/>
    <w:rsid w:val="00BF4D56"/>
    <w:rsid w:val="00BF521A"/>
    <w:rsid w:val="00BF797F"/>
    <w:rsid w:val="00C00397"/>
    <w:rsid w:val="00C007F2"/>
    <w:rsid w:val="00C009E8"/>
    <w:rsid w:val="00C00BB5"/>
    <w:rsid w:val="00C00D66"/>
    <w:rsid w:val="00C01232"/>
    <w:rsid w:val="00C013CC"/>
    <w:rsid w:val="00C02F71"/>
    <w:rsid w:val="00C03A6B"/>
    <w:rsid w:val="00C0495F"/>
    <w:rsid w:val="00C04EDD"/>
    <w:rsid w:val="00C05626"/>
    <w:rsid w:val="00C05A2D"/>
    <w:rsid w:val="00C05C7A"/>
    <w:rsid w:val="00C063D4"/>
    <w:rsid w:val="00C068C7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7D7"/>
    <w:rsid w:val="00C238FA"/>
    <w:rsid w:val="00C2469D"/>
    <w:rsid w:val="00C251C9"/>
    <w:rsid w:val="00C25263"/>
    <w:rsid w:val="00C2573F"/>
    <w:rsid w:val="00C25BE8"/>
    <w:rsid w:val="00C3039A"/>
    <w:rsid w:val="00C30EB9"/>
    <w:rsid w:val="00C343DD"/>
    <w:rsid w:val="00C35802"/>
    <w:rsid w:val="00C358C1"/>
    <w:rsid w:val="00C35D68"/>
    <w:rsid w:val="00C36118"/>
    <w:rsid w:val="00C36D0D"/>
    <w:rsid w:val="00C36EB6"/>
    <w:rsid w:val="00C37019"/>
    <w:rsid w:val="00C37E1E"/>
    <w:rsid w:val="00C37F71"/>
    <w:rsid w:val="00C4091E"/>
    <w:rsid w:val="00C41432"/>
    <w:rsid w:val="00C41A8C"/>
    <w:rsid w:val="00C42922"/>
    <w:rsid w:val="00C43AF6"/>
    <w:rsid w:val="00C440E7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503F3"/>
    <w:rsid w:val="00C513FD"/>
    <w:rsid w:val="00C51B2F"/>
    <w:rsid w:val="00C51CDD"/>
    <w:rsid w:val="00C51DDE"/>
    <w:rsid w:val="00C52516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B49"/>
    <w:rsid w:val="00C63B99"/>
    <w:rsid w:val="00C64333"/>
    <w:rsid w:val="00C6453C"/>
    <w:rsid w:val="00C646ED"/>
    <w:rsid w:val="00C64BCE"/>
    <w:rsid w:val="00C64C32"/>
    <w:rsid w:val="00C64CCB"/>
    <w:rsid w:val="00C66A99"/>
    <w:rsid w:val="00C66CE4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80780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90564"/>
    <w:rsid w:val="00C91882"/>
    <w:rsid w:val="00C92123"/>
    <w:rsid w:val="00C9269D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729"/>
    <w:rsid w:val="00CA6D47"/>
    <w:rsid w:val="00CA789E"/>
    <w:rsid w:val="00CB106A"/>
    <w:rsid w:val="00CB19E8"/>
    <w:rsid w:val="00CB1BF6"/>
    <w:rsid w:val="00CB2EF4"/>
    <w:rsid w:val="00CB326F"/>
    <w:rsid w:val="00CB35D9"/>
    <w:rsid w:val="00CB393B"/>
    <w:rsid w:val="00CB3AB5"/>
    <w:rsid w:val="00CB4118"/>
    <w:rsid w:val="00CB49EB"/>
    <w:rsid w:val="00CB5017"/>
    <w:rsid w:val="00CB668C"/>
    <w:rsid w:val="00CB71C1"/>
    <w:rsid w:val="00CC029E"/>
    <w:rsid w:val="00CC064F"/>
    <w:rsid w:val="00CC18B6"/>
    <w:rsid w:val="00CC1CFB"/>
    <w:rsid w:val="00CC20E1"/>
    <w:rsid w:val="00CC47B2"/>
    <w:rsid w:val="00CC4871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610C"/>
    <w:rsid w:val="00CE016C"/>
    <w:rsid w:val="00CE0C79"/>
    <w:rsid w:val="00CE11F5"/>
    <w:rsid w:val="00CE2D54"/>
    <w:rsid w:val="00CE49F8"/>
    <w:rsid w:val="00CE4BF1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633"/>
    <w:rsid w:val="00D3170D"/>
    <w:rsid w:val="00D31F8C"/>
    <w:rsid w:val="00D32D96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D9A"/>
    <w:rsid w:val="00D43C39"/>
    <w:rsid w:val="00D45A31"/>
    <w:rsid w:val="00D460E4"/>
    <w:rsid w:val="00D476E0"/>
    <w:rsid w:val="00D506A3"/>
    <w:rsid w:val="00D50FDB"/>
    <w:rsid w:val="00D51276"/>
    <w:rsid w:val="00D5199A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D41"/>
    <w:rsid w:val="00D639C5"/>
    <w:rsid w:val="00D63BC7"/>
    <w:rsid w:val="00D6517E"/>
    <w:rsid w:val="00D65388"/>
    <w:rsid w:val="00D658BA"/>
    <w:rsid w:val="00D67F79"/>
    <w:rsid w:val="00D70790"/>
    <w:rsid w:val="00D70F10"/>
    <w:rsid w:val="00D71FCD"/>
    <w:rsid w:val="00D720E5"/>
    <w:rsid w:val="00D72E25"/>
    <w:rsid w:val="00D73387"/>
    <w:rsid w:val="00D73D42"/>
    <w:rsid w:val="00D74023"/>
    <w:rsid w:val="00D74045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BAB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C80"/>
    <w:rsid w:val="00DA7849"/>
    <w:rsid w:val="00DB1505"/>
    <w:rsid w:val="00DB1FA9"/>
    <w:rsid w:val="00DB215A"/>
    <w:rsid w:val="00DB46A8"/>
    <w:rsid w:val="00DB5210"/>
    <w:rsid w:val="00DB542A"/>
    <w:rsid w:val="00DB561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D0972"/>
    <w:rsid w:val="00DD143C"/>
    <w:rsid w:val="00DD2896"/>
    <w:rsid w:val="00DD2BBF"/>
    <w:rsid w:val="00DD3781"/>
    <w:rsid w:val="00DD4749"/>
    <w:rsid w:val="00DD4A3A"/>
    <w:rsid w:val="00DD6360"/>
    <w:rsid w:val="00DD6F5B"/>
    <w:rsid w:val="00DD7180"/>
    <w:rsid w:val="00DE04C4"/>
    <w:rsid w:val="00DE0804"/>
    <w:rsid w:val="00DE1C43"/>
    <w:rsid w:val="00DE21DC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E1"/>
    <w:rsid w:val="00DF180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E007D7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20EB9"/>
    <w:rsid w:val="00E21DC1"/>
    <w:rsid w:val="00E227A9"/>
    <w:rsid w:val="00E23C81"/>
    <w:rsid w:val="00E2441D"/>
    <w:rsid w:val="00E24D82"/>
    <w:rsid w:val="00E25F1B"/>
    <w:rsid w:val="00E30481"/>
    <w:rsid w:val="00E31671"/>
    <w:rsid w:val="00E3202F"/>
    <w:rsid w:val="00E3288D"/>
    <w:rsid w:val="00E33526"/>
    <w:rsid w:val="00E34F1A"/>
    <w:rsid w:val="00E35052"/>
    <w:rsid w:val="00E374C3"/>
    <w:rsid w:val="00E37656"/>
    <w:rsid w:val="00E40267"/>
    <w:rsid w:val="00E40662"/>
    <w:rsid w:val="00E4076D"/>
    <w:rsid w:val="00E415D2"/>
    <w:rsid w:val="00E419AC"/>
    <w:rsid w:val="00E41E05"/>
    <w:rsid w:val="00E42D2F"/>
    <w:rsid w:val="00E43FEA"/>
    <w:rsid w:val="00E446FF"/>
    <w:rsid w:val="00E44881"/>
    <w:rsid w:val="00E44C4E"/>
    <w:rsid w:val="00E44C54"/>
    <w:rsid w:val="00E45382"/>
    <w:rsid w:val="00E4572D"/>
    <w:rsid w:val="00E47A87"/>
    <w:rsid w:val="00E5028A"/>
    <w:rsid w:val="00E503CA"/>
    <w:rsid w:val="00E508AA"/>
    <w:rsid w:val="00E51FD0"/>
    <w:rsid w:val="00E52067"/>
    <w:rsid w:val="00E52912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67E5D"/>
    <w:rsid w:val="00E70065"/>
    <w:rsid w:val="00E7032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81FF7"/>
    <w:rsid w:val="00E82093"/>
    <w:rsid w:val="00E82AA6"/>
    <w:rsid w:val="00E84A4E"/>
    <w:rsid w:val="00E84AC1"/>
    <w:rsid w:val="00E8616B"/>
    <w:rsid w:val="00E866B7"/>
    <w:rsid w:val="00E866D4"/>
    <w:rsid w:val="00E8747A"/>
    <w:rsid w:val="00E87874"/>
    <w:rsid w:val="00E87886"/>
    <w:rsid w:val="00E87926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2439"/>
    <w:rsid w:val="00EA3305"/>
    <w:rsid w:val="00EA3486"/>
    <w:rsid w:val="00EA3D7C"/>
    <w:rsid w:val="00EA3E52"/>
    <w:rsid w:val="00EA4736"/>
    <w:rsid w:val="00EA5E7A"/>
    <w:rsid w:val="00EA5FFB"/>
    <w:rsid w:val="00EA622A"/>
    <w:rsid w:val="00EA6645"/>
    <w:rsid w:val="00EB0542"/>
    <w:rsid w:val="00EB0602"/>
    <w:rsid w:val="00EB082A"/>
    <w:rsid w:val="00EB11A1"/>
    <w:rsid w:val="00EB1230"/>
    <w:rsid w:val="00EB1374"/>
    <w:rsid w:val="00EB1C05"/>
    <w:rsid w:val="00EB22CD"/>
    <w:rsid w:val="00EB235C"/>
    <w:rsid w:val="00EB277D"/>
    <w:rsid w:val="00EB4374"/>
    <w:rsid w:val="00EB46BF"/>
    <w:rsid w:val="00EB5619"/>
    <w:rsid w:val="00EB5ADD"/>
    <w:rsid w:val="00EB6543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C36"/>
    <w:rsid w:val="00ED2F32"/>
    <w:rsid w:val="00ED3592"/>
    <w:rsid w:val="00ED3A8F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B1B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FE2"/>
    <w:rsid w:val="00EF40ED"/>
    <w:rsid w:val="00EF4A5D"/>
    <w:rsid w:val="00EF4A8D"/>
    <w:rsid w:val="00EF4CC2"/>
    <w:rsid w:val="00EF4CCB"/>
    <w:rsid w:val="00EF62CA"/>
    <w:rsid w:val="00EF7CC7"/>
    <w:rsid w:val="00F00E4F"/>
    <w:rsid w:val="00F00EEB"/>
    <w:rsid w:val="00F018FE"/>
    <w:rsid w:val="00F01A75"/>
    <w:rsid w:val="00F02A3B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10C90"/>
    <w:rsid w:val="00F11F1E"/>
    <w:rsid w:val="00F122A1"/>
    <w:rsid w:val="00F1317B"/>
    <w:rsid w:val="00F13ECC"/>
    <w:rsid w:val="00F148FA"/>
    <w:rsid w:val="00F16D91"/>
    <w:rsid w:val="00F171B9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DFE"/>
    <w:rsid w:val="00F31044"/>
    <w:rsid w:val="00F315C5"/>
    <w:rsid w:val="00F31661"/>
    <w:rsid w:val="00F32A7F"/>
    <w:rsid w:val="00F33ACB"/>
    <w:rsid w:val="00F344A7"/>
    <w:rsid w:val="00F35966"/>
    <w:rsid w:val="00F35B2E"/>
    <w:rsid w:val="00F363EB"/>
    <w:rsid w:val="00F36931"/>
    <w:rsid w:val="00F36D7E"/>
    <w:rsid w:val="00F37DCD"/>
    <w:rsid w:val="00F4051A"/>
    <w:rsid w:val="00F40E25"/>
    <w:rsid w:val="00F416DF"/>
    <w:rsid w:val="00F42349"/>
    <w:rsid w:val="00F428F5"/>
    <w:rsid w:val="00F45004"/>
    <w:rsid w:val="00F502E3"/>
    <w:rsid w:val="00F50835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5B8"/>
    <w:rsid w:val="00F57ED8"/>
    <w:rsid w:val="00F60B48"/>
    <w:rsid w:val="00F6125D"/>
    <w:rsid w:val="00F61276"/>
    <w:rsid w:val="00F619D7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70048"/>
    <w:rsid w:val="00F70E92"/>
    <w:rsid w:val="00F71816"/>
    <w:rsid w:val="00F72755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B86"/>
    <w:rsid w:val="00F85CAD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F44"/>
    <w:rsid w:val="00FA579C"/>
    <w:rsid w:val="00FA60D8"/>
    <w:rsid w:val="00FA6B7B"/>
    <w:rsid w:val="00FA6DD1"/>
    <w:rsid w:val="00FA7090"/>
    <w:rsid w:val="00FA71B4"/>
    <w:rsid w:val="00FB01CD"/>
    <w:rsid w:val="00FB0AB6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681A"/>
    <w:rsid w:val="00FB6EC9"/>
    <w:rsid w:val="00FB6F2D"/>
    <w:rsid w:val="00FB7F03"/>
    <w:rsid w:val="00FC0406"/>
    <w:rsid w:val="00FC061B"/>
    <w:rsid w:val="00FC06B2"/>
    <w:rsid w:val="00FC1A88"/>
    <w:rsid w:val="00FC2734"/>
    <w:rsid w:val="00FC331E"/>
    <w:rsid w:val="00FC34F9"/>
    <w:rsid w:val="00FC374C"/>
    <w:rsid w:val="00FC5B34"/>
    <w:rsid w:val="00FC5B68"/>
    <w:rsid w:val="00FC5C32"/>
    <w:rsid w:val="00FC5FBF"/>
    <w:rsid w:val="00FC724C"/>
    <w:rsid w:val="00FD31FE"/>
    <w:rsid w:val="00FD331A"/>
    <w:rsid w:val="00FD3371"/>
    <w:rsid w:val="00FD49BE"/>
    <w:rsid w:val="00FD5FAC"/>
    <w:rsid w:val="00FD61F7"/>
    <w:rsid w:val="00FD62F8"/>
    <w:rsid w:val="00FD7508"/>
    <w:rsid w:val="00FD758A"/>
    <w:rsid w:val="00FE0BB8"/>
    <w:rsid w:val="00FE0ED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customXml" Target="../customXml/item3.xml"/><Relationship Id="rId21" Type="http://schemas.openxmlformats.org/officeDocument/2006/relationships/chart" Target="charts/chart10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image" Target="media/image1.jpg"/><Relationship Id="rId19" Type="http://schemas.openxmlformats.org/officeDocument/2006/relationships/chart" Target="charts/chart8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INGRESOS%20Y%20GASTOS%20RECONOCIDO/2025/08%20Agosto%202025/GRAFICOS%20Agosto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83083657864067E-2"/>
          <c:y val="3.141362119899993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FD-4559-A03D-EC4C5EE2DCFE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FD-4559-A03D-EC4C5EE2DCFE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FD-4559-A03D-EC4C5EE2DCFE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FD-4559-A03D-EC4C5EE2DCFE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FD-4559-A03D-EC4C5EE2DCFE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FD-4559-A03D-EC4C5EE2DCFE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FD-4559-A03D-EC4C5EE2DC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-1.493799713077581E-2</c:v>
                </c:pt>
                <c:pt idx="1">
                  <c:v>-2.3844380346965233E-2</c:v>
                </c:pt>
                <c:pt idx="2">
                  <c:v>6.4304558036855125E-4</c:v>
                </c:pt>
                <c:pt idx="3">
                  <c:v>1.8879748384940408E-2</c:v>
                </c:pt>
                <c:pt idx="4">
                  <c:v>1.3808062578349475E-2</c:v>
                </c:pt>
                <c:pt idx="5">
                  <c:v>8.9250595591644343E-3</c:v>
                </c:pt>
                <c:pt idx="6">
                  <c:v>1.054514385243965E-2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0FD-4559-A03D-EC4C5EE2DCFE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FD-4559-A03D-EC4C5EE2DCFE}"/>
                </c:ext>
              </c:extLst>
            </c:dLbl>
            <c:dLbl>
              <c:idx val="1"/>
              <c:layout>
                <c:manualLayout>
                  <c:x val="0"/>
                  <c:y val="2.505480739116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5F-4B5D-87AC-D5B7A91391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-3.9319238474642026E-2</c:v>
                </c:pt>
                <c:pt idx="1">
                  <c:v>-5.4995197516249643E-2</c:v>
                </c:pt>
                <c:pt idx="2">
                  <c:v>-3.2792296045260239E-2</c:v>
                </c:pt>
                <c:pt idx="3">
                  <c:v>-1.4780745926060355E-2</c:v>
                </c:pt>
                <c:pt idx="4">
                  <c:v>-2.0233112859711591E-2</c:v>
                </c:pt>
                <c:pt idx="5">
                  <c:v>-2.5497165145959816E-2</c:v>
                </c:pt>
                <c:pt idx="6">
                  <c:v>-1.9658061121814847E-2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0FD-4559-A03D-EC4C5EE2DC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9512622084615E-2"/>
          <c:y val="3.3697361139896527E-2"/>
          <c:w val="0.90685838078514114"/>
          <c:h val="0.79846884851429423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GASTOS!$A$91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GASTOS!$J$91:$L$91</c:f>
              <c:numCache>
                <c:formatCode>0.0%</c:formatCode>
                <c:ptCount val="3"/>
                <c:pt idx="0">
                  <c:v>0.58409195733199315</c:v>
                </c:pt>
                <c:pt idx="1">
                  <c:v>0.586140958924803</c:v>
                </c:pt>
                <c:pt idx="2">
                  <c:v>0.57319761420047977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46-4614-8CFA-6D4031CE19F2}"/>
            </c:ext>
          </c:extLst>
        </c:ser>
        <c:ser>
          <c:idx val="3"/>
          <c:order val="1"/>
          <c:tx>
            <c:strRef>
              <c:f>GASTOS!$A$92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chemeClr val="accent1">
                <a:shade val="9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GASTOS!$J$92:$L$92</c:f>
              <c:numCache>
                <c:formatCode>0.0%</c:formatCode>
                <c:ptCount val="3"/>
                <c:pt idx="0">
                  <c:v>0.14584550811963104</c:v>
                </c:pt>
                <c:pt idx="1">
                  <c:v>0.1433529314405598</c:v>
                </c:pt>
                <c:pt idx="2">
                  <c:v>0.14759000001871769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46-4614-8CFA-6D4031CE19F2}"/>
            </c:ext>
          </c:extLst>
        </c:ser>
        <c:ser>
          <c:idx val="4"/>
          <c:order val="2"/>
          <c:tx>
            <c:strRef>
              <c:f>GASTOS!$A$93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GASTOS!$J$93:$L$93</c:f>
              <c:numCache>
                <c:formatCode>0.0%</c:formatCode>
                <c:ptCount val="3"/>
                <c:pt idx="0">
                  <c:v>7.2821460797021356E-2</c:v>
                </c:pt>
                <c:pt idx="1">
                  <c:v>7.6661610668069938E-2</c:v>
                </c:pt>
                <c:pt idx="2">
                  <c:v>8.3002584344423549E-2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46-4614-8CFA-6D4031CE19F2}"/>
            </c:ext>
          </c:extLst>
        </c:ser>
        <c:ser>
          <c:idx val="5"/>
          <c:order val="3"/>
          <c:tx>
            <c:strRef>
              <c:f>GASTOS!$A$94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GASTOS!$J$94:$L$94</c:f>
              <c:numCache>
                <c:formatCode>0.0%</c:formatCode>
                <c:ptCount val="3"/>
                <c:pt idx="0">
                  <c:v>4.1301757259374614E-2</c:v>
                </c:pt>
                <c:pt idx="1">
                  <c:v>4.1047578265063257E-2</c:v>
                </c:pt>
                <c:pt idx="2">
                  <c:v>4.1593690203627055E-2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46-4614-8CFA-6D4031CE19F2}"/>
            </c:ext>
          </c:extLst>
        </c:ser>
        <c:ser>
          <c:idx val="6"/>
          <c:order val="4"/>
          <c:tx>
            <c:strRef>
              <c:f>GASTOS!$A$95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GASTOS!$J$95:$L$95</c:f>
              <c:numCache>
                <c:formatCode>0.0%</c:formatCode>
                <c:ptCount val="3"/>
                <c:pt idx="0">
                  <c:v>2.7827264775736105E-2</c:v>
                </c:pt>
                <c:pt idx="1">
                  <c:v>2.7874132770113025E-2</c:v>
                </c:pt>
                <c:pt idx="2">
                  <c:v>2.7603651491984727E-2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46-4614-8CFA-6D4031CE19F2}"/>
            </c:ext>
          </c:extLst>
        </c:ser>
        <c:ser>
          <c:idx val="7"/>
          <c:order val="5"/>
          <c:tx>
            <c:strRef>
              <c:f>GASTOS!$A$96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chemeClr val="accent1">
                <a:tint val="4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GASTOS!$J$96:$L$96</c:f>
              <c:numCache>
                <c:formatCode>0.0%</c:formatCode>
                <c:ptCount val="3"/>
                <c:pt idx="0">
                  <c:v>0.12811205171624374</c:v>
                </c:pt>
                <c:pt idx="1">
                  <c:v>0.12492278793139094</c:v>
                </c:pt>
                <c:pt idx="2">
                  <c:v>0.12701245974076722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46-4614-8CFA-6D4031CE1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768192"/>
        <c:axId val="223556096"/>
      </c:barChart>
      <c:catAx>
        <c:axId val="22176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3556096"/>
        <c:crosses val="autoZero"/>
        <c:auto val="1"/>
        <c:lblAlgn val="ctr"/>
        <c:lblOffset val="100"/>
        <c:noMultiLvlLbl val="0"/>
      </c:catAx>
      <c:valAx>
        <c:axId val="22355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721919375462681"/>
          <c:y val="0.92503570241492727"/>
          <c:w val="0.74556161249074637"/>
          <c:h val="4.00297997684787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D19-4A97-964C-2153C05E99F4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D19-4A97-964C-2153C05E99F4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D19-4A97-964C-2153C05E99F4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D19-4A97-964C-2153C05E99F4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CD19-4A97-964C-2153C05E99F4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CD19-4A97-964C-2153C05E99F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D19-4A97-964C-2153C05E99F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D19-4A97-964C-2153C05E99F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CD19-4A97-964C-2153C05E99F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CD19-4A97-964C-2153C05E99F4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CD19-4A97-964C-2153C05E99F4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CD19-4A97-964C-2153C05E99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REMUNERACIONES!$G$39:$G$44</c:f>
              <c:strCache>
                <c:ptCount val="6"/>
                <c:pt idx="0">
                  <c:v>Salario base</c:v>
                </c:pt>
                <c:pt idx="1">
                  <c:v>Anualidades</c:v>
                </c:pt>
                <c:pt idx="2">
                  <c:v>Dedicación o Prohibición</c:v>
                </c:pt>
                <c:pt idx="3">
                  <c:v>Salario escolar</c:v>
                </c:pt>
                <c:pt idx="4">
                  <c:v>Otros incentivos</c:v>
                </c:pt>
                <c:pt idx="5">
                  <c:v>Cargas sociales</c:v>
                </c:pt>
              </c:strCache>
            </c:strRef>
          </c:cat>
          <c:val>
            <c:numRef>
              <c:f>REMUNERACIONES!$K$39:$K$44</c:f>
              <c:numCache>
                <c:formatCode>0.0%</c:formatCode>
                <c:ptCount val="6"/>
                <c:pt idx="0">
                  <c:v>0.40760883499262696</c:v>
                </c:pt>
                <c:pt idx="1">
                  <c:v>0.10608490802584929</c:v>
                </c:pt>
                <c:pt idx="2">
                  <c:v>4.3614352380328021E-2</c:v>
                </c:pt>
                <c:pt idx="3">
                  <c:v>8.7953223481179524E-2</c:v>
                </c:pt>
                <c:pt idx="4">
                  <c:v>0.17116863114989259</c:v>
                </c:pt>
                <c:pt idx="5">
                  <c:v>0.18357004997012383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D19-4A97-964C-2153C05E99F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EF-4D04-B8C2-9A284D4E0BC6}"/>
                </c:ext>
              </c:extLst>
            </c:dLbl>
            <c:dLbl>
              <c:idx val="1"/>
              <c:layout>
                <c:manualLayout>
                  <c:x val="2.3027696053847671E-3"/>
                  <c:y val="2.9932361215217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EF-4D04-B8C2-9A284D4E0BC6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EF-4D04-B8C2-9A284D4E0BC6}"/>
                </c:ext>
              </c:extLst>
            </c:dLbl>
            <c:dLbl>
              <c:idx val="3"/>
              <c:layout>
                <c:manualLayout>
                  <c:x val="-1.578750024667969E-7"/>
                  <c:y val="4.0184878721413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EF-4D04-B8C2-9A284D4E0BC6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EF-4D04-B8C2-9A284D4E0B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0.21698953693343737</c:v>
                </c:pt>
                <c:pt idx="1">
                  <c:v>0.26376069038560868</c:v>
                </c:pt>
                <c:pt idx="2">
                  <c:v>6.6972182046640683E-3</c:v>
                </c:pt>
                <c:pt idx="3">
                  <c:v>3.6076292795402587E-2</c:v>
                </c:pt>
                <c:pt idx="4">
                  <c:v>1.3909293609190687E-2</c:v>
                </c:pt>
                <c:pt idx="5">
                  <c:v>7.3882135938063698E-6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CFEF-4D04-B8C2-9A284D4E0BC6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1.3821899242136837E-2</c:v>
                </c:pt>
                <c:pt idx="1">
                  <c:v>0.39415755052105084</c:v>
                </c:pt>
                <c:pt idx="2">
                  <c:v>2.4001805199353132E-2</c:v>
                </c:pt>
                <c:pt idx="3">
                  <c:v>1.6318280984981559E-3</c:v>
                </c:pt>
                <c:pt idx="4">
                  <c:v>4.0358192987404173E-2</c:v>
                </c:pt>
                <c:pt idx="5">
                  <c:v>1.7989288442100015E-2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FEF-4D04-B8C2-9A284D4E0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5632"/>
        <c:axId val="221630400"/>
      </c:lineChart>
      <c:catAx>
        <c:axId val="2217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0400"/>
        <c:crosses val="autoZero"/>
        <c:auto val="1"/>
        <c:lblAlgn val="ctr"/>
        <c:lblOffset val="100"/>
        <c:noMultiLvlLbl val="0"/>
      </c:catAx>
      <c:valAx>
        <c:axId val="22163040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352097363703586E-2"/>
          <c:y val="1.8555349387912212E-2"/>
          <c:w val="0.89990047057561184"/>
          <c:h val="0.78905798935645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'!$H$12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563146997929608E-2"/>
                  <c:y val="1.85614849187935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4D-4DCA-82AE-6282404C6471}"/>
                </c:ext>
              </c:extLst>
            </c:dLbl>
            <c:dLbl>
              <c:idx val="5"/>
              <c:layout>
                <c:manualLayout>
                  <c:x val="-7.8674948240165785E-2"/>
                  <c:y val="1.85614849187935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4D-4DCA-82AE-6282404C64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'!$H$13:$H$18</c:f>
              <c:numCache>
                <c:formatCode>#\ ##0.0</c:formatCode>
                <c:ptCount val="6"/>
                <c:pt idx="0">
                  <c:v>39314.596975870008</c:v>
                </c:pt>
                <c:pt idx="1">
                  <c:v>24318.979082250004</c:v>
                </c:pt>
                <c:pt idx="2">
                  <c:v>29194.153912460002</c:v>
                </c:pt>
                <c:pt idx="3">
                  <c:v>14611.73141038</c:v>
                </c:pt>
                <c:pt idx="4">
                  <c:v>8831.1031306500008</c:v>
                </c:pt>
                <c:pt idx="5">
                  <c:v>28907.62545119999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4D-4DCA-82AE-6282404C6471}"/>
            </c:ext>
          </c:extLst>
        </c:ser>
        <c:ser>
          <c:idx val="1"/>
          <c:order val="1"/>
          <c:tx>
            <c:strRef>
              <c:f>'Bienes y servicios (Acum) '!$I$12</c:f>
              <c:strCache>
                <c:ptCount val="1"/>
                <c:pt idx="0">
                  <c:v>ago-25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5031822899290898E-2"/>
                  <c:y val="3.32087959902601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4D-4DCA-82AE-6282404C6471}"/>
                </c:ext>
              </c:extLst>
            </c:dLbl>
            <c:dLbl>
              <c:idx val="1"/>
              <c:layout>
                <c:manualLayout>
                  <c:x val="3.7267080745341574E-2"/>
                  <c:y val="-6.18716163959789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4D-4DCA-82AE-6282404C6471}"/>
                </c:ext>
              </c:extLst>
            </c:dLbl>
            <c:dLbl>
              <c:idx val="3"/>
              <c:layout>
                <c:manualLayout>
                  <c:x val="3.3126293995859216E-2"/>
                  <c:y val="-9.28074245939680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4D-4DCA-82AE-6282404C6471}"/>
                </c:ext>
              </c:extLst>
            </c:dLbl>
            <c:dLbl>
              <c:idx val="5"/>
              <c:layout>
                <c:manualLayout>
                  <c:x val="2.74106748082640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4D-4DCA-82AE-6282404C64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'!$I$13:$I$18</c:f>
              <c:numCache>
                <c:formatCode>#\ ##0.0</c:formatCode>
                <c:ptCount val="6"/>
                <c:pt idx="0">
                  <c:v>36870.200767290022</c:v>
                </c:pt>
                <c:pt idx="1">
                  <c:v>24646.381021789999</c:v>
                </c:pt>
                <c:pt idx="2">
                  <c:v>32216.274289960005</c:v>
                </c:pt>
                <c:pt idx="3">
                  <c:v>11668.225584550002</c:v>
                </c:pt>
                <c:pt idx="4">
                  <c:v>10233.574332029999</c:v>
                </c:pt>
                <c:pt idx="5">
                  <c:v>30337.614935309997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4D-4DCA-82AE-6282404C64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2160"/>
        <c:axId val="222060544"/>
      </c:barChart>
      <c:catAx>
        <c:axId val="226972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0544"/>
        <c:crosses val="autoZero"/>
        <c:auto val="1"/>
        <c:lblAlgn val="ctr"/>
        <c:lblOffset val="100"/>
        <c:noMultiLvlLbl val="0"/>
      </c:catAx>
      <c:valAx>
        <c:axId val="22206054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583035816175154"/>
          <c:y val="0.96945052402092435"/>
          <c:w val="0.34833928367649697"/>
          <c:h val="1.19879910602821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067579615369199E-2"/>
          <c:y val="2.190941903038909E-2"/>
          <c:w val="0.91018355558765751"/>
          <c:h val="0.83951480571728088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AB-4257-A543-20584E02093A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AB-4257-A543-20584E02093A}"/>
                </c:ext>
              </c:extLst>
            </c:dLbl>
            <c:dLbl>
              <c:idx val="2"/>
              <c:layout>
                <c:manualLayout>
                  <c:x val="0"/>
                  <c:y val="3.3898305084745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AB-4257-A543-20584E02093A}"/>
                </c:ext>
              </c:extLst>
            </c:dLbl>
            <c:dLbl>
              <c:idx val="3"/>
              <c:layout>
                <c:manualLayout>
                  <c:x val="0"/>
                  <c:y val="-2.556105656584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AB-4257-A543-20584E02093A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4AB-4257-A543-20584E0209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1.1928416647021414</c:v>
                </c:pt>
                <c:pt idx="1">
                  <c:v>0.24200739681544792</c:v>
                </c:pt>
                <c:pt idx="2">
                  <c:v>9.211655474970204E-2</c:v>
                </c:pt>
                <c:pt idx="3">
                  <c:v>0.12939868268683674</c:v>
                </c:pt>
                <c:pt idx="4">
                  <c:v>-7.9779694637089782E-2</c:v>
                </c:pt>
                <c:pt idx="5">
                  <c:v>-7.7293155216896281E-2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44AB-4257-A543-20584E02093A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0.23250561454807706</c:v>
                </c:pt>
                <c:pt idx="1">
                  <c:v>0.18601972222798557</c:v>
                </c:pt>
                <c:pt idx="2">
                  <c:v>0.11865992073983178</c:v>
                </c:pt>
                <c:pt idx="3">
                  <c:v>6.2072158384032017E-2</c:v>
                </c:pt>
                <c:pt idx="4">
                  <c:v>5.5386645656052558E-2</c:v>
                </c:pt>
                <c:pt idx="5">
                  <c:v>-7.6686608666714728E-2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4AB-4257-A543-20584E020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144"/>
        <c:axId val="221632128"/>
      </c:lineChart>
      <c:catAx>
        <c:axId val="2217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632128"/>
        <c:crosses val="autoZero"/>
        <c:auto val="1"/>
        <c:lblAlgn val="ctr"/>
        <c:lblOffset val="100"/>
        <c:noMultiLvlLbl val="0"/>
      </c:catAx>
      <c:valAx>
        <c:axId val="22163212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158320646546092E-2"/>
          <c:y val="2.6046511627906978E-2"/>
          <c:w val="0.91492853686832909"/>
          <c:h val="0.79561106024537631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04-4612-A0CE-88FB98B6920B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04-4612-A0CE-88FB98B6920B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04-4612-A0CE-88FB98B6920B}"/>
                </c:ext>
              </c:extLst>
            </c:dLbl>
            <c:dLbl>
              <c:idx val="4"/>
              <c:layout>
                <c:manualLayout>
                  <c:x val="3.5906960881008497E-4"/>
                  <c:y val="-6.7380479765610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04-4612-A0CE-88FB98B692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0.17420852320734359</c:v>
                </c:pt>
                <c:pt idx="1">
                  <c:v>7.506373606669392E-2</c:v>
                </c:pt>
                <c:pt idx="2">
                  <c:v>0.10822680892728909</c:v>
                </c:pt>
                <c:pt idx="3">
                  <c:v>-0.22160512363900686</c:v>
                </c:pt>
                <c:pt idx="4">
                  <c:v>0.1947726598299846</c:v>
                </c:pt>
                <c:pt idx="5">
                  <c:v>-0.13345154037137208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E204-4612-A0CE-88FB98B6920B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1.8223199795553757E-2</c:v>
                </c:pt>
                <c:pt idx="1">
                  <c:v>-2.6496342556292296E-2</c:v>
                </c:pt>
                <c:pt idx="2">
                  <c:v>-1.1595488048046998E-2</c:v>
                </c:pt>
                <c:pt idx="3">
                  <c:v>1.3330339516698819E-2</c:v>
                </c:pt>
                <c:pt idx="4">
                  <c:v>6.4515066268635346E-2</c:v>
                </c:pt>
                <c:pt idx="5">
                  <c:v>-2.9217801143389899E-2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04-4612-A0CE-88FB98B69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656"/>
        <c:axId val="221633856"/>
      </c:lineChart>
      <c:catAx>
        <c:axId val="22176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633856"/>
        <c:crosses val="autoZero"/>
        <c:auto val="1"/>
        <c:lblAlgn val="ctr"/>
        <c:lblOffset val="100"/>
        <c:noMultiLvlLbl val="0"/>
      </c:catAx>
      <c:valAx>
        <c:axId val="22163385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252397149774756"/>
          <c:w val="1"/>
          <c:h val="0.5796884505779513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338-41DA-B03C-F4F8A6FDD7EF}"/>
              </c:ext>
            </c:extLst>
          </c:dPt>
          <c:dPt>
            <c:idx val="1"/>
            <c:bubble3D val="0"/>
            <c:explosion val="27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338-41DA-B03C-F4F8A6FDD7E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338-41DA-B03C-F4F8A6FDD7E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338-41DA-B03C-F4F8A6FDD7EF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338-41DA-B03C-F4F8A6FDD7EF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6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HendersonSansW00-BasicLight" panose="02000505030000020004" pitchFamily="2" charset="0"/>
                        <a:ea typeface="+mn-ea"/>
                        <a:cs typeface="+mn-cs"/>
                      </a:defRPr>
                    </a:pPr>
                    <a:fld id="{ADE94CA1-3BDA-4217-A329-60E9F3C053E7}" type="CATEGORYNAME">
                      <a:rPr lang="en-US" sz="60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[NOMBRE DE CATEGORÍA]</a:t>
                    </a:fld>
                    <a:r>
                      <a:rPr lang="en-US" sz="600" baseline="0">
                        <a:latin typeface="HendersonSansW00-BasicLight" panose="02000505030000020004" pitchFamily="2" charset="0"/>
                      </a:rPr>
                      <a:t>  </a:t>
                    </a:r>
                    <a:fld id="{C3D7788F-9192-4730-9C52-5A9F2BF9D23F}" type="VALUE">
                      <a:rPr lang="en-US" sz="600" baseline="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[VALOR]</a:t>
                    </a:fld>
                    <a:endParaRPr lang="en-US" sz="600" baseline="0">
                      <a:latin typeface="HendersonSansW00-BasicLight" panose="02000505030000020004" pitchFamily="2" charset="0"/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338-41DA-B03C-F4F8A6FDD7EF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801488116737701"/>
                      <c:h val="0.162601002147458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338-41DA-B03C-F4F8A6FDD7EF}"/>
                </c:ext>
              </c:extLst>
            </c:dLbl>
            <c:dLbl>
              <c:idx val="2"/>
              <c:layout>
                <c:manualLayout>
                  <c:x val="-2.6402645752999056E-3"/>
                  <c:y val="0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6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HendersonSansW00-BasicLight" panose="02000505030000020004" pitchFamily="2" charset="0"/>
                        <a:ea typeface="+mn-ea"/>
                        <a:cs typeface="+mn-cs"/>
                      </a:defRPr>
                    </a:pPr>
                    <a:fld id="{BEAC928A-E13A-4432-87C7-0C3CDC2361E6}" type="CATEGORYNAME">
                      <a:rPr lang="en-US" sz="60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[NOMBRE DE CATEGORÍA]</a:t>
                    </a:fld>
                    <a:r>
                      <a:rPr lang="en-US" sz="600" baseline="0">
                        <a:latin typeface="HendersonSansW00-BasicLight" panose="02000505030000020004" pitchFamily="2" charset="0"/>
                      </a:rPr>
                      <a:t> </a:t>
                    </a:r>
                    <a:fld id="{D3771EC7-6FF2-4D24-9C09-5036619A47FA}" type="VALUE">
                      <a:rPr lang="en-US" sz="600" baseline="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[VALOR]</a:t>
                    </a:fld>
                    <a:endParaRPr lang="en-US" sz="600" baseline="0">
                      <a:latin typeface="HendersonSansW00-BasicLight" panose="02000505030000020004" pitchFamily="2" charset="0"/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338-41DA-B03C-F4F8A6FDD7EF}"/>
                </c:ext>
              </c:extLst>
            </c:dLbl>
            <c:dLbl>
              <c:idx val="3"/>
              <c:layout>
                <c:manualLayout>
                  <c:x val="1.0561058301199671E-2"/>
                  <c:y val="-1.142857485671537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6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HendersonSansW00-BasicLight" panose="02000505030000020004" pitchFamily="2" charset="0"/>
                        <a:ea typeface="+mn-ea"/>
                        <a:cs typeface="+mn-cs"/>
                      </a:defRPr>
                    </a:pPr>
                    <a:fld id="{7390260D-3433-4958-8ED0-E29F9E23101B}" type="CATEGORYNAME">
                      <a:rPr lang="en-US" sz="60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[NOMBRE DE CATEGORÍA]</a:t>
                    </a:fld>
                    <a:fld id="{5FF4E863-7B09-40B4-B455-068F6A0BCD98}" type="VALUE">
                      <a:rPr lang="en-US" sz="600" baseline="0">
                        <a:latin typeface="HendersonSansW00-BasicLight" panose="02000505030000020004" pitchFamily="2" charset="0"/>
                      </a:rPr>
                      <a:pPr>
                        <a:defRPr sz="600">
                          <a:latin typeface="HendersonSansW00-BasicLight" panose="02000505030000020004" pitchFamily="2" charset="0"/>
                        </a:defRPr>
                      </a:pPr>
                      <a:t>[VALOR]</a:t>
                    </a:fld>
                    <a:endParaRPr lang="es-CR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338-41DA-B03C-F4F8A6FDD7E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PENSIONES!$G$17:$G$20</c:f>
              <c:strCache>
                <c:ptCount val="4"/>
                <c:pt idx="0">
                  <c:v>P. Hacienda</c:v>
                </c:pt>
                <c:pt idx="1">
                  <c:v>P. Magisterio L.2248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PENSIONES!$I$17:$I$20</c:f>
              <c:numCache>
                <c:formatCode>0.0%</c:formatCode>
                <c:ptCount val="4"/>
                <c:pt idx="0">
                  <c:v>7.4306520439082896E-2</c:v>
                </c:pt>
                <c:pt idx="1">
                  <c:v>0.84065000552164715</c:v>
                </c:pt>
                <c:pt idx="2">
                  <c:v>6.14141262094553E-2</c:v>
                </c:pt>
                <c:pt idx="3">
                  <c:v>2.3629347829814639E-2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38-41DA-B03C-F4F8A6FDD7EF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102315347537196E-2"/>
          <c:y val="4.3901218800909074E-2"/>
          <c:w val="0.90437290858849484"/>
          <c:h val="0.8086324817481547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7169918977519139E-2"/>
                  <c:y val="6.2968636273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37-4CA2-BA7A-16D11124AE48}"/>
                </c:ext>
              </c:extLst>
            </c:dLbl>
            <c:dLbl>
              <c:idx val="4"/>
              <c:layout>
                <c:manualLayout>
                  <c:x val="-8.8723743860197619E-3"/>
                  <c:y val="2.325758985137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37-4CA2-BA7A-16D11124AE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-0.28481129869410038</c:v>
                </c:pt>
                <c:pt idx="1">
                  <c:v>2.4718681193328726</c:v>
                </c:pt>
                <c:pt idx="2">
                  <c:v>0.57137312576127819</c:v>
                </c:pt>
                <c:pt idx="3">
                  <c:v>-0.34990621376879738</c:v>
                </c:pt>
                <c:pt idx="4">
                  <c:v>0.35130432555758295</c:v>
                </c:pt>
                <c:pt idx="5">
                  <c:v>0.26952103128527627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1E37-4CA2-BA7A-16D11124AE48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0.11888198757763983"/>
                  <c:y val="6.5031429894792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37-42E4-ACC2-313A3B453021}"/>
                </c:ext>
              </c:extLst>
            </c:dLbl>
            <c:dLbl>
              <c:idx val="4"/>
              <c:layout>
                <c:manualLayout>
                  <c:x val="-0.11478260869565217"/>
                  <c:y val="7.3434791239330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37-42E4-ACC2-313A3B453021}"/>
                </c:ext>
              </c:extLst>
            </c:dLbl>
            <c:dLbl>
              <c:idx val="5"/>
              <c:layout>
                <c:manualLayout>
                  <c:x val="-3.3693249067643316E-2"/>
                  <c:y val="-2.1920755314655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37-4CA2-BA7A-16D11124AE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0.18706535132924573</c:v>
                </c:pt>
                <c:pt idx="1">
                  <c:v>3.6256407152637227</c:v>
                </c:pt>
                <c:pt idx="2">
                  <c:v>-0.12510160404714021</c:v>
                </c:pt>
                <c:pt idx="3">
                  <c:v>0.25071949967628182</c:v>
                </c:pt>
                <c:pt idx="4">
                  <c:v>-7.3504931169969367E-2</c:v>
                </c:pt>
                <c:pt idx="5">
                  <c:v>-9.5464258281532377E-3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37-4CA2-BA7A-16D11124AE4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3366144"/>
        <c:axId val="223552640"/>
      </c:lineChart>
      <c:catAx>
        <c:axId val="2233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3552640"/>
        <c:crosses val="autoZero"/>
        <c:auto val="1"/>
        <c:lblAlgn val="ctr"/>
        <c:lblOffset val="100"/>
        <c:noMultiLvlLbl val="0"/>
      </c:catAx>
      <c:valAx>
        <c:axId val="22355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04283006627403"/>
          <c:y val="6.1282659667541546E-2"/>
          <c:w val="0.89075659413472241"/>
          <c:h val="0.63671079896176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'Inversión acum'!$J$7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62035541195477E-3"/>
                  <c:y val="-1.1080332409972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99-4A66-8F45-DB872A0E294D}"/>
                </c:ext>
              </c:extLst>
            </c:dLbl>
            <c:dLbl>
              <c:idx val="1"/>
              <c:layout>
                <c:manualLayout>
                  <c:x val="-4.3080236941303177E-3"/>
                  <c:y val="-1.8467220683287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99-4A66-8F45-DB872A0E294D}"/>
                </c:ext>
              </c:extLst>
            </c:dLbl>
            <c:dLbl>
              <c:idx val="2"/>
              <c:layout>
                <c:manualLayout>
                  <c:x val="-1.277955271565503E-2"/>
                  <c:y val="-6.78541136556403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99-4A66-8F45-DB872A0E294D}"/>
                </c:ext>
              </c:extLst>
            </c:dLbl>
            <c:dLbl>
              <c:idx val="3"/>
              <c:layout>
                <c:manualLayout>
                  <c:x val="-2.1541814542972112E-3"/>
                  <c:y val="-7.386888273314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99-4A66-8F45-DB872A0E294D}"/>
                </c:ext>
              </c:extLst>
            </c:dLbl>
            <c:dLbl>
              <c:idx val="4"/>
              <c:layout>
                <c:manualLayout>
                  <c:x val="-9.3239879748472469E-3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99-4A66-8F45-DB872A0E29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acum'!$J$8:$J$12</c:f>
              <c:numCache>
                <c:formatCode>#\ ##0.0</c:formatCode>
                <c:ptCount val="5"/>
                <c:pt idx="0">
                  <c:v>11369.154352190002</c:v>
                </c:pt>
                <c:pt idx="1">
                  <c:v>61043.710069470006</c:v>
                </c:pt>
                <c:pt idx="2">
                  <c:v>3229.7700998600003</c:v>
                </c:pt>
                <c:pt idx="3">
                  <c:v>7131.8710961999986</c:v>
                </c:pt>
                <c:pt idx="4">
                  <c:v>58421.228738159996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99-4A66-8F45-DB872A0E294D}"/>
            </c:ext>
          </c:extLst>
        </c:ser>
        <c:ser>
          <c:idx val="1"/>
          <c:order val="1"/>
          <c:tx>
            <c:strRef>
              <c:f>'Inversión acum'!$K$7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6584572295875116E-2"/>
                  <c:y val="1.9454094955687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99-4A66-8F45-DB872A0E294D}"/>
                </c:ext>
              </c:extLst>
            </c:dLbl>
            <c:dLbl>
              <c:idx val="1"/>
              <c:layout>
                <c:manualLayout>
                  <c:x val="1.1655069772175085E-2"/>
                  <c:y val="-1.84675115056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99-4A66-8F45-DB872A0E294D}"/>
                </c:ext>
              </c:extLst>
            </c:dLbl>
            <c:dLbl>
              <c:idx val="2"/>
              <c:layout>
                <c:manualLayout>
                  <c:x val="1.2779552715654952E-2"/>
                  <c:y val="1.6963528413910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99-4A66-8F45-DB872A0E294D}"/>
                </c:ext>
              </c:extLst>
            </c:dLbl>
            <c:dLbl>
              <c:idx val="3"/>
              <c:layout>
                <c:manualLayout>
                  <c:x val="3.1427637040577598E-2"/>
                  <c:y val="2.0356234096692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99-4A66-8F45-DB872A0E294D}"/>
                </c:ext>
              </c:extLst>
            </c:dLbl>
            <c:dLbl>
              <c:idx val="4"/>
              <c:layout>
                <c:manualLayout>
                  <c:x val="2.797196392454174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99-4A66-8F45-DB872A0E29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acum'!$K$8:$K$12</c:f>
              <c:numCache>
                <c:formatCode>#\ ##0.0</c:formatCode>
                <c:ptCount val="5"/>
                <c:pt idx="0">
                  <c:v>11269.80480632</c:v>
                </c:pt>
                <c:pt idx="1">
                  <c:v>53772.685502649998</c:v>
                </c:pt>
                <c:pt idx="2">
                  <c:v>2039.5361958800002</c:v>
                </c:pt>
                <c:pt idx="3">
                  <c:v>6594.2887260000007</c:v>
                </c:pt>
                <c:pt idx="4">
                  <c:v>66171.504519750015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D99-4A66-8F45-DB872A0E29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1648"/>
        <c:axId val="222065152"/>
      </c:barChart>
      <c:catAx>
        <c:axId val="226971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2065152"/>
        <c:crosses val="autoZero"/>
        <c:auto val="1"/>
        <c:lblAlgn val="ctr"/>
        <c:lblOffset val="100"/>
        <c:noMultiLvlLbl val="0"/>
      </c:catAx>
      <c:valAx>
        <c:axId val="22206515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622214954760045"/>
          <c:y val="0.95971121930369407"/>
          <c:w val="0.28755536548346794"/>
          <c:h val="4.02887806963060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662903546187655E-2"/>
          <c:y val="6.7597192333219369E-2"/>
          <c:w val="0.90476163301892876"/>
          <c:h val="0.82597122795639921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7.465942943416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B7-4CAD-81E7-C771F72CA50E}"/>
                </c:ext>
              </c:extLst>
            </c:dLbl>
            <c:dLbl>
              <c:idx val="1"/>
              <c:layout>
                <c:manualLayout>
                  <c:x val="2.3028215223097111E-3"/>
                  <c:y val="1.4313617774522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B7-4CAD-81E7-C771F72CA50E}"/>
                </c:ext>
              </c:extLst>
            </c:dLbl>
            <c:dLbl>
              <c:idx val="2"/>
              <c:layout>
                <c:manualLayout>
                  <c:x val="-1.9629265091863518E-3"/>
                  <c:y val="1.757034731123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B7-4CAD-81E7-C771F72CA50E}"/>
                </c:ext>
              </c:extLst>
            </c:dLbl>
            <c:dLbl>
              <c:idx val="4"/>
              <c:layout>
                <c:manualLayout>
                  <c:x val="2.2038563668716313E-3"/>
                  <c:y val="-4.513398485405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B7-4CAD-81E7-C771F72CA5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-0.60300597170002446</c:v>
                </c:pt>
                <c:pt idx="1">
                  <c:v>3.1244660656748691E-2</c:v>
                </c:pt>
                <c:pt idx="2">
                  <c:v>-0.1407680841251685</c:v>
                </c:pt>
                <c:pt idx="3">
                  <c:v>1.0632879156692341</c:v>
                </c:pt>
                <c:pt idx="4">
                  <c:v>0.14024581937012504</c:v>
                </c:pt>
                <c:pt idx="5">
                  <c:v>0.61935611960283787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A2B7-4CAD-81E7-C771F72CA50E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4.1666666666667429E-3"/>
                  <c:y val="5.038759689922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C-40D3-876F-B23F6EA6B1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-0.40271748165227017</c:v>
                </c:pt>
                <c:pt idx="1">
                  <c:v>-4.662743865019181E-2</c:v>
                </c:pt>
                <c:pt idx="2">
                  <c:v>-4.981056496905012E-2</c:v>
                </c:pt>
                <c:pt idx="3">
                  <c:v>3.5048571782630988E-2</c:v>
                </c:pt>
                <c:pt idx="4">
                  <c:v>0.50762493718505097</c:v>
                </c:pt>
                <c:pt idx="5">
                  <c:v>-6.2307852048368639E-2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2B7-4CAD-81E7-C771F72CA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7168"/>
        <c:axId val="223554368"/>
      </c:lineChart>
      <c:catAx>
        <c:axId val="22176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3554368"/>
        <c:crosses val="autoZero"/>
        <c:auto val="1"/>
        <c:lblAlgn val="ctr"/>
        <c:lblOffset val="100"/>
        <c:noMultiLvlLbl val="0"/>
      </c:catAx>
      <c:valAx>
        <c:axId val="22355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554925326863033E-2"/>
                  <c:y val="2.596197286462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53-4FCE-999C-1FBDF2F42CB3}"/>
                </c:ext>
              </c:extLst>
            </c:dLbl>
            <c:dLbl>
              <c:idx val="2"/>
              <c:layout>
                <c:manualLayout>
                  <c:x val="-4.8573154038475293E-3"/>
                  <c:y val="4.407487708294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53-4FCE-999C-1FBDF2F42CB3}"/>
                </c:ext>
              </c:extLst>
            </c:dLbl>
            <c:dLbl>
              <c:idx val="3"/>
              <c:layout>
                <c:manualLayout>
                  <c:x val="-9.2068388815111474E-17"/>
                  <c:y val="7.4177065327507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53-4FCE-999C-1FBDF2F42CB3}"/>
                </c:ext>
              </c:extLst>
            </c:dLbl>
            <c:dLbl>
              <c:idx val="5"/>
              <c:layout>
                <c:manualLayout>
                  <c:x val="0"/>
                  <c:y val="2.0203691724459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53-4FCE-999C-1FBDF2F42C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-0.29393493297376783</c:v>
                </c:pt>
                <c:pt idx="1">
                  <c:v>0.38816009546076402</c:v>
                </c:pt>
                <c:pt idx="2">
                  <c:v>0.58517509216055807</c:v>
                </c:pt>
                <c:pt idx="3">
                  <c:v>-0.2869382766064027</c:v>
                </c:pt>
                <c:pt idx="4">
                  <c:v>4.9595623972816139E-2</c:v>
                </c:pt>
                <c:pt idx="5">
                  <c:v>-1.2128039486362319E-2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0053-4FCE-999C-1FBDF2F42CB3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-1.680672268907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9E-4434-98F3-111F97564143}"/>
                </c:ext>
              </c:extLst>
            </c:dLbl>
            <c:dLbl>
              <c:idx val="4"/>
              <c:layout>
                <c:manualLayout>
                  <c:x val="-1.5831711180957504E-16"/>
                  <c:y val="-3.361344537815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9E-4434-98F3-111F97564143}"/>
                </c:ext>
              </c:extLst>
            </c:dLbl>
            <c:dLbl>
              <c:idx val="5"/>
              <c:layout>
                <c:manualLayout>
                  <c:x val="0"/>
                  <c:y val="-3.361344537815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9E-4434-98F3-111F975641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-0.11812219601176321</c:v>
                </c:pt>
                <c:pt idx="1">
                  <c:v>0.36751002622072537</c:v>
                </c:pt>
                <c:pt idx="2">
                  <c:v>0.19481591893884564</c:v>
                </c:pt>
                <c:pt idx="3">
                  <c:v>-2.2967897668526804E-2</c:v>
                </c:pt>
                <c:pt idx="4">
                  <c:v>2.2293108880271584E-2</c:v>
                </c:pt>
                <c:pt idx="5">
                  <c:v>1.7730215778639868E-2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053-4FCE-999C-1FBDF2F42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92415650116291E-2"/>
          <c:y val="0.85542446900019853"/>
          <c:w val="0.79713054002964656"/>
          <c:h val="0.119365446966188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560766860664163E-2"/>
          <c:y val="4.5045045045045043E-2"/>
          <c:w val="0.8882968161588497"/>
          <c:h val="0.80202915513939133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9143018196550911E-2"/>
                  <c:y val="5.5849295433815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CC-4142-9DD7-D227D625ED0E}"/>
                </c:ext>
              </c:extLst>
            </c:dLbl>
            <c:dLbl>
              <c:idx val="1"/>
              <c:layout>
                <c:manualLayout>
                  <c:x val="0"/>
                  <c:y val="-1.3513513513513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CC-4142-9DD7-D227D625ED0E}"/>
                </c:ext>
              </c:extLst>
            </c:dLbl>
            <c:dLbl>
              <c:idx val="2"/>
              <c:layout>
                <c:manualLayout>
                  <c:x val="0"/>
                  <c:y val="-2.702702702702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CC-4142-9DD7-D227D625ED0E}"/>
                </c:ext>
              </c:extLst>
            </c:dLbl>
            <c:dLbl>
              <c:idx val="3"/>
              <c:layout>
                <c:manualLayout>
                  <c:x val="0"/>
                  <c:y val="2.702702702702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CC-4142-9DD7-D227D625ED0E}"/>
                </c:ext>
              </c:extLst>
            </c:dLbl>
            <c:dLbl>
              <c:idx val="4"/>
              <c:layout>
                <c:manualLayout>
                  <c:x val="0"/>
                  <c:y val="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CC-4142-9DD7-D227D625ED0E}"/>
                </c:ext>
              </c:extLst>
            </c:dLbl>
            <c:dLbl>
              <c:idx val="5"/>
              <c:layout>
                <c:manualLayout>
                  <c:x val="2.1432565382713687E-4"/>
                  <c:y val="2.70864939196118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CC-4142-9DD7-D227D625ED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-0.12374047690693402</c:v>
                </c:pt>
                <c:pt idx="1">
                  <c:v>0.27615962578750675</c:v>
                </c:pt>
                <c:pt idx="2">
                  <c:v>0.19987479188534518</c:v>
                </c:pt>
                <c:pt idx="3">
                  <c:v>-4.5529377176267372E-2</c:v>
                </c:pt>
                <c:pt idx="4">
                  <c:v>3.3477724778302687E-2</c:v>
                </c:pt>
                <c:pt idx="5">
                  <c:v>-9.2075986618749273E-3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8CC-4142-9DD7-D227D625ED0E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-2.3640661938534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B8-47A3-8104-DC758F525B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-0.11536620585199853</c:v>
                </c:pt>
                <c:pt idx="1">
                  <c:v>0.32504251299876019</c:v>
                </c:pt>
                <c:pt idx="2">
                  <c:v>0.161066243136198</c:v>
                </c:pt>
                <c:pt idx="3">
                  <c:v>3.6927767655995813E-2</c:v>
                </c:pt>
                <c:pt idx="4">
                  <c:v>1.3774993315623929E-2</c:v>
                </c:pt>
                <c:pt idx="5">
                  <c:v>1.6604974558827257E-2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8CC-4142-9DD7-D227D625E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499904"/>
        <c:axId val="217314368"/>
      </c:lineChart>
      <c:catAx>
        <c:axId val="2214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4368"/>
        <c:crosses val="autoZero"/>
        <c:auto val="1"/>
        <c:lblAlgn val="ctr"/>
        <c:lblOffset val="100"/>
        <c:noMultiLvlLbl val="0"/>
      </c:catAx>
      <c:valAx>
        <c:axId val="21731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49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0.38260412824582773</c:v>
                </c:pt>
                <c:pt idx="1">
                  <c:v>0.36039801284493711</c:v>
                </c:pt>
                <c:pt idx="2">
                  <c:v>0.36302496804821255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04-448C-9B64-C81218DA231A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0.36541078795694687</c:v>
                </c:pt>
                <c:pt idx="1">
                  <c:v>0.37680875481237219</c:v>
                </c:pt>
                <c:pt idx="2">
                  <c:v>0.38191352101358494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04-448C-9B64-C81218DA231A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4.2421375524657565E-2</c:v>
                </c:pt>
                <c:pt idx="1">
                  <c:v>5.0149635496994485E-2</c:v>
                </c:pt>
                <c:pt idx="2">
                  <c:v>4.444134955623813E-2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04-448C-9B64-C81218DA231A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9.1151495953787479E-2</c:v>
                </c:pt>
                <c:pt idx="1">
                  <c:v>0.10129705654495734</c:v>
                </c:pt>
                <c:pt idx="2">
                  <c:v>9.6152467422865068E-2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04-448C-9B64-C81218DA231A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0.11841221231878032</c:v>
                </c:pt>
                <c:pt idx="1">
                  <c:v>0.1113465403007389</c:v>
                </c:pt>
                <c:pt idx="2">
                  <c:v>0.1144676939590993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04-448C-9B64-C81218DA23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894429862933801E-2"/>
          <c:y val="0.80787999601315663"/>
          <c:w val="0.8942111402741324"/>
          <c:h val="0.16680354829064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608801706676298E-2"/>
          <c:y val="3.4302613519914225E-2"/>
          <c:w val="0.88887712294668186"/>
          <c:h val="0.81248211024523576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1.792716770512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E7-40B6-9544-1A264F6D72BA}"/>
                </c:ext>
              </c:extLst>
            </c:dLbl>
            <c:dLbl>
              <c:idx val="3"/>
              <c:layout>
                <c:manualLayout>
                  <c:x val="0"/>
                  <c:y val="-1.792716770512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E7-40B6-9544-1A264F6D72BA}"/>
                </c:ext>
              </c:extLst>
            </c:dLbl>
            <c:dLbl>
              <c:idx val="4"/>
              <c:layout>
                <c:manualLayout>
                  <c:x val="-1.6887155530966563E-16"/>
                  <c:y val="8.533329033073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E7-40B6-9544-1A264F6D72BA}"/>
                </c:ext>
              </c:extLst>
            </c:dLbl>
            <c:dLbl>
              <c:idx val="5"/>
              <c:layout>
                <c:manualLayout>
                  <c:x val="0"/>
                  <c:y val="2.102746484936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E7-40B6-9544-1A264F6D72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2.7840872627834523E-2</c:v>
                </c:pt>
                <c:pt idx="1">
                  <c:v>0.27317431059696839</c:v>
                </c:pt>
                <c:pt idx="2">
                  <c:v>0.15098780587319904</c:v>
                </c:pt>
                <c:pt idx="3">
                  <c:v>-6.7313815669990618E-2</c:v>
                </c:pt>
                <c:pt idx="4">
                  <c:v>4.3472772592703324E-2</c:v>
                </c:pt>
                <c:pt idx="5">
                  <c:v>1.4939014028181319E-2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0CE7-40B6-9544-1A264F6D72BA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-8.9376497071482763E-2</c:v>
                </c:pt>
                <c:pt idx="1">
                  <c:v>0.30624608421439281</c:v>
                </c:pt>
                <c:pt idx="2">
                  <c:v>0.18192688157245396</c:v>
                </c:pt>
                <c:pt idx="3">
                  <c:v>1.9228237425505945E-2</c:v>
                </c:pt>
                <c:pt idx="4">
                  <c:v>-4.5063902634917441E-2</c:v>
                </c:pt>
                <c:pt idx="5">
                  <c:v>2.4015047956601476E-2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CE7-40B6-9544-1A264F6D72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1952"/>
        <c:axId val="221856896"/>
      </c:lineChart>
      <c:catAx>
        <c:axId val="221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856896"/>
        <c:crosses val="autoZero"/>
        <c:auto val="1"/>
        <c:lblAlgn val="ctr"/>
        <c:lblOffset val="100"/>
        <c:noMultiLvlLbl val="0"/>
      </c:catAx>
      <c:valAx>
        <c:axId val="2218568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345526404798293E-2"/>
          <c:y val="6.4556138424626902E-2"/>
          <c:w val="0.87957128124996764"/>
          <c:h val="0.7817529396308218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98455657635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21-4822-9F03-6315E3E1D915}"/>
                </c:ext>
              </c:extLst>
            </c:dLbl>
            <c:dLbl>
              <c:idx val="4"/>
              <c:layout>
                <c:manualLayout>
                  <c:x val="-1.6055276091569893E-16"/>
                  <c:y val="-2.077683204924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21-4822-9F03-6315E3E1D915}"/>
                </c:ext>
              </c:extLst>
            </c:dLbl>
            <c:dLbl>
              <c:idx val="5"/>
              <c:layout>
                <c:manualLayout>
                  <c:x val="-1.3888728445112719E-16"/>
                  <c:y val="6.8723218108374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21-4822-9F03-6315E3E1D9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-9.3026762044729039E-2</c:v>
                </c:pt>
                <c:pt idx="1">
                  <c:v>0.30031169837269878</c:v>
                </c:pt>
                <c:pt idx="2">
                  <c:v>0.23660471926448978</c:v>
                </c:pt>
                <c:pt idx="3">
                  <c:v>-5.1687490591878937E-2</c:v>
                </c:pt>
                <c:pt idx="4">
                  <c:v>1.2970384711901817E-2</c:v>
                </c:pt>
                <c:pt idx="5">
                  <c:v>-1.187191434855972E-2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1521-4822-9F03-6315E3E1D915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-5.2116740746998902E-2</c:v>
                </c:pt>
                <c:pt idx="1">
                  <c:v>0.34428349446169726</c:v>
                </c:pt>
                <c:pt idx="2">
                  <c:v>9.1264127262835171E-2</c:v>
                </c:pt>
                <c:pt idx="3">
                  <c:v>8.3502530038981337E-2</c:v>
                </c:pt>
                <c:pt idx="4">
                  <c:v>4.539686698080958E-2</c:v>
                </c:pt>
                <c:pt idx="5">
                  <c:v>3.037729446338111E-2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521-4822-9F03-6315E3E1D9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2464"/>
        <c:axId val="221858624"/>
      </c:lineChart>
      <c:catAx>
        <c:axId val="2215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858624"/>
        <c:crosses val="autoZero"/>
        <c:auto val="1"/>
        <c:lblAlgn val="ctr"/>
        <c:lblOffset val="100"/>
        <c:noMultiLvlLbl val="0"/>
      </c:catAx>
      <c:valAx>
        <c:axId val="22185862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112453572529616E-2"/>
          <c:y val="4.9417414309759135E-2"/>
          <c:w val="0.87694033131093796"/>
          <c:h val="0.82590335344915156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49-475A-9600-47DAAF0E0ECC}"/>
                </c:ext>
              </c:extLst>
            </c:dLbl>
            <c:dLbl>
              <c:idx val="1"/>
              <c:layout>
                <c:manualLayout>
                  <c:x val="2.3028209556706968E-3"/>
                  <c:y val="4.121586142123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49-475A-9600-47DAAF0E0ECC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49-475A-9600-47DAAF0E0ECC}"/>
                </c:ext>
              </c:extLst>
            </c:dLbl>
            <c:dLbl>
              <c:idx val="4"/>
              <c:layout>
                <c:manualLayout>
                  <c:x val="3.7166077789184742E-3"/>
                  <c:y val="-3.92214775351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49-475A-9600-47DAAF0E0ECC}"/>
                </c:ext>
              </c:extLst>
            </c:dLbl>
            <c:dLbl>
              <c:idx val="5"/>
              <c:layout>
                <c:manualLayout>
                  <c:x val="-1.3627404431096045E-16"/>
                  <c:y val="-3.209029980145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49-475A-9600-47DAAF0E0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0.25601351331340561</c:v>
                </c:pt>
                <c:pt idx="1">
                  <c:v>0.14212000765651189</c:v>
                </c:pt>
                <c:pt idx="2">
                  <c:v>8.9630195526874568E-2</c:v>
                </c:pt>
                <c:pt idx="3">
                  <c:v>-2.0539122295194723E-2</c:v>
                </c:pt>
                <c:pt idx="4">
                  <c:v>2.7595963403677981E-2</c:v>
                </c:pt>
                <c:pt idx="5">
                  <c:v>1.025630720232984E-3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0149-475A-9600-47DAAF0E0ECC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0"/>
                  <c:y val="4.8484848484848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49-475A-9600-47DAAF0E0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2.5955564774242657E-2</c:v>
                </c:pt>
                <c:pt idx="1">
                  <c:v>8.022289649642822E-2</c:v>
                </c:pt>
                <c:pt idx="2">
                  <c:v>2.3214659418036909E-2</c:v>
                </c:pt>
                <c:pt idx="3">
                  <c:v>3.277785888502982E-2</c:v>
                </c:pt>
                <c:pt idx="4">
                  <c:v>7.1650039042080671E-2</c:v>
                </c:pt>
                <c:pt idx="5">
                  <c:v>-2.4954309346528647E-2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149-475A-9600-47DAAF0E0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120"/>
        <c:axId val="221626944"/>
      </c:lineChart>
      <c:catAx>
        <c:axId val="2233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626944"/>
        <c:crosses val="autoZero"/>
        <c:auto val="1"/>
        <c:lblAlgn val="ctr"/>
        <c:lblOffset val="100"/>
        <c:noMultiLvlLbl val="0"/>
      </c:catAx>
      <c:valAx>
        <c:axId val="22162694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364421416234892E-2"/>
          <c:y val="0.86136292054402275"/>
          <c:w val="0.9"/>
          <c:h val="0.102273443092340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041836637890143"/>
          <c:y val="5.5345911949685536E-2"/>
          <c:w val="0.79934066976567686"/>
          <c:h val="0.5053991872761693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GASTOS!$A$34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chemeClr val="accent1">
                <a:shade val="47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GASTOS!$J$34:$L$34</c:f>
              <c:numCache>
                <c:formatCode>0.0%</c:formatCode>
                <c:ptCount val="3"/>
                <c:pt idx="0">
                  <c:v>0.3024934071837766</c:v>
                </c:pt>
                <c:pt idx="1">
                  <c:v>0.30066847629984916</c:v>
                </c:pt>
                <c:pt idx="2">
                  <c:v>0.31141694409819098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6C-492C-AA68-30187286292B}"/>
            </c:ext>
          </c:extLst>
        </c:ser>
        <c:ser>
          <c:idx val="1"/>
          <c:order val="1"/>
          <c:tx>
            <c:strRef>
              <c:f>GASTOS!$A$35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GASTOS!$J$35:$L$35</c:f>
              <c:numCache>
                <c:formatCode>0.0%</c:formatCode>
                <c:ptCount val="3"/>
                <c:pt idx="0">
                  <c:v>3.1058029551215838E-2</c:v>
                </c:pt>
                <c:pt idx="1">
                  <c:v>3.0151144799597705E-2</c:v>
                </c:pt>
                <c:pt idx="2">
                  <c:v>3.1479048288744378E-2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6C-492C-AA68-30187286292B}"/>
            </c:ext>
          </c:extLst>
        </c:ser>
        <c:ser>
          <c:idx val="2"/>
          <c:order val="2"/>
          <c:tx>
            <c:strRef>
              <c:f>GASTOS!$A$36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chemeClr val="accent1">
                <a:shade val="8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GASTOS!$J$36:$L$36</c:f>
              <c:numCache>
                <c:formatCode>0.0%</c:formatCode>
                <c:ptCount val="3"/>
                <c:pt idx="0">
                  <c:v>0.28346199761500629</c:v>
                </c:pt>
                <c:pt idx="1">
                  <c:v>0.27916016977079422</c:v>
                </c:pt>
                <c:pt idx="2">
                  <c:v>0.2643489690247266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6C-492C-AA68-30187286292B}"/>
            </c:ext>
          </c:extLst>
        </c:ser>
        <c:ser>
          <c:idx val="3"/>
          <c:order val="3"/>
          <c:tx>
            <c:strRef>
              <c:f>GASTOS!$A$37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GASTOS!$J$37:$L$37</c:f>
              <c:numCache>
                <c:formatCode>0.0%</c:formatCode>
                <c:ptCount val="3"/>
                <c:pt idx="0">
                  <c:v>0.3231336417741924</c:v>
                </c:pt>
                <c:pt idx="1">
                  <c:v>0.32098224005511639</c:v>
                </c:pt>
                <c:pt idx="2">
                  <c:v>0.31957871080460915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6C-492C-AA68-30187286292B}"/>
            </c:ext>
          </c:extLst>
        </c:ser>
        <c:ser>
          <c:idx val="4"/>
          <c:order val="4"/>
          <c:tx>
            <c:strRef>
              <c:f>GASTOS!$A$38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8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GASTOS!$J$38:$L$38</c:f>
              <c:numCache>
                <c:formatCode>0.0%</c:formatCode>
                <c:ptCount val="3"/>
                <c:pt idx="0">
                  <c:v>2.6966436098824195E-2</c:v>
                </c:pt>
                <c:pt idx="1">
                  <c:v>2.33138330231514E-2</c:v>
                </c:pt>
                <c:pt idx="2">
                  <c:v>2.3682243270005395E-2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6C-492C-AA68-30187286292B}"/>
            </c:ext>
          </c:extLst>
        </c:ser>
        <c:ser>
          <c:idx val="5"/>
          <c:order val="5"/>
          <c:tx>
            <c:strRef>
              <c:f>GASTOS!$A$39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1.225114854517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FC-4752-A6FA-A61CFE8D9B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GASTOS!$J$39:$L$39</c:f>
              <c:numCache>
                <c:formatCode>0.0%</c:formatCode>
                <c:ptCount val="3"/>
                <c:pt idx="0">
                  <c:v>3.206375187887088E-2</c:v>
                </c:pt>
                <c:pt idx="1">
                  <c:v>4.510811379758798E-2</c:v>
                </c:pt>
                <c:pt idx="2">
                  <c:v>4.33800431327062E-2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6C-492C-AA68-30187286292B}"/>
            </c:ext>
          </c:extLst>
        </c:ser>
        <c:ser>
          <c:idx val="6"/>
          <c:order val="6"/>
          <c:tx>
            <c:strRef>
              <c:f>GASTOS!$A$40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chemeClr val="accent1">
                <a:tint val="48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GASTOS!$J$40:$L$40</c:f>
              <c:numCache>
                <c:formatCode>0.0%</c:formatCode>
                <c:ptCount val="3"/>
                <c:pt idx="0">
                  <c:v>8.227358981136131E-4</c:v>
                </c:pt>
                <c:pt idx="1">
                  <c:v>6.1602225390324959E-4</c:v>
                </c:pt>
                <c:pt idx="2">
                  <c:v>6.1140413810173598E-3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6C-492C-AA68-301872862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500416"/>
        <c:axId val="221862080"/>
      </c:barChart>
      <c:catAx>
        <c:axId val="22150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862080"/>
        <c:crosses val="autoZero"/>
        <c:auto val="1"/>
        <c:lblAlgn val="ctr"/>
        <c:lblOffset val="100"/>
        <c:noMultiLvlLbl val="0"/>
      </c:catAx>
      <c:valAx>
        <c:axId val="22186208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6812627364917809"/>
          <c:w val="1"/>
          <c:h val="0.291029651155780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069285579095971E-2"/>
          <c:y val="3.5340744489951913E-2"/>
          <c:w val="0.89776376408564629"/>
          <c:h val="0.77953820506832083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B3-49EF-BB32-EDA9F7BA611E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B3-49EF-BB32-EDA9F7BA611E}"/>
                </c:ext>
              </c:extLst>
            </c:dLbl>
            <c:dLbl>
              <c:idx val="2"/>
              <c:layout>
                <c:manualLayout>
                  <c:x val="5.0417532597713741E-3"/>
                  <c:y val="-3.933810900411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B3-49EF-BB32-EDA9F7BA611E}"/>
                </c:ext>
              </c:extLst>
            </c:dLbl>
            <c:dLbl>
              <c:idx val="3"/>
              <c:layout>
                <c:manualLayout>
                  <c:x val="-9.2431075324138936E-17"/>
                  <c:y val="-3.5404019331895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B3-49EF-BB32-EDA9F7BA611E}"/>
                </c:ext>
              </c:extLst>
            </c:dLbl>
            <c:dLbl>
              <c:idx val="4"/>
              <c:layout>
                <c:manualLayout>
                  <c:x val="4.0875915306485006E-3"/>
                  <c:y val="-8.55076759816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B3-49EF-BB32-EDA9F7BA611E}"/>
                </c:ext>
              </c:extLst>
            </c:dLbl>
            <c:dLbl>
              <c:idx val="5"/>
              <c:layout>
                <c:manualLayout>
                  <c:x val="-1.8486215064827787E-16"/>
                  <c:y val="3.9337799257661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B3-49EF-BB32-EDA9F7BA6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2.8792684767688925E-3</c:v>
                </c:pt>
                <c:pt idx="1">
                  <c:v>4.6257522813704766E-2</c:v>
                </c:pt>
                <c:pt idx="2">
                  <c:v>4.507302399526103E-2</c:v>
                </c:pt>
                <c:pt idx="3">
                  <c:v>1.5854964231557078E-2</c:v>
                </c:pt>
                <c:pt idx="4">
                  <c:v>-2.8093555275849003E-2</c:v>
                </c:pt>
                <c:pt idx="5">
                  <c:v>4.8497823636429738E-2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6DB3-49EF-BB32-EDA9F7BA611E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2.0314745866654826E-2</c:v>
                </c:pt>
                <c:pt idx="1">
                  <c:v>5.2523630549960343E-2</c:v>
                </c:pt>
                <c:pt idx="2">
                  <c:v>4.5699786537958254E-3</c:v>
                </c:pt>
                <c:pt idx="3">
                  <c:v>1.4317608121644065E-2</c:v>
                </c:pt>
                <c:pt idx="4">
                  <c:v>6.5184816308079485E-2</c:v>
                </c:pt>
                <c:pt idx="5">
                  <c:v>9.9021788921955789E-3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DB3-49EF-BB32-EDA9F7BA61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632"/>
        <c:axId val="221628672"/>
      </c:lineChart>
      <c:catAx>
        <c:axId val="2233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628672"/>
        <c:crosses val="autoZero"/>
        <c:auto val="1"/>
        <c:lblAlgn val="ctr"/>
        <c:lblOffset val="100"/>
        <c:noMultiLvlLbl val="0"/>
      </c:catAx>
      <c:valAx>
        <c:axId val="22162867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ea8ff3801f800073392f89270bce21b4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6552d3b29bc8abd45b2a657539d32e56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2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8B4E8-1803-4F69-AC5D-88931ADBD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2278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Leonel Rivera Solano</cp:lastModifiedBy>
  <cp:revision>25</cp:revision>
  <cp:lastPrinted>2025-03-13T18:57:00Z</cp:lastPrinted>
  <dcterms:created xsi:type="dcterms:W3CDTF">2025-09-09T20:48:00Z</dcterms:created>
  <dcterms:modified xsi:type="dcterms:W3CDTF">2025-09-17T17:46:00Z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